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0FD" w:rsidRDefault="009636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1</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EE028B" w:rsidRPr="00EE028B">
        <w:rPr>
          <w:rFonts w:ascii="Arial" w:hAnsi="Arial" w:cs="Arial"/>
          <w:b/>
          <w:bCs/>
          <w:snapToGrid w:val="0"/>
          <w:kern w:val="0"/>
          <w:sz w:val="24"/>
        </w:rPr>
        <w:t>R2-2006873</w:t>
      </w:r>
      <w:bookmarkStart w:id="0" w:name="_GoBack"/>
      <w:bookmarkEnd w:id="0"/>
    </w:p>
    <w:p w:rsidR="009D60FD" w:rsidRDefault="009636E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17</w:t>
      </w:r>
      <w:r>
        <w:rPr>
          <w:rFonts w:ascii="Arial" w:hAnsi="Arial" w:cs="Arial"/>
          <w:b/>
          <w:bCs/>
          <w:kern w:val="0"/>
          <w:sz w:val="24"/>
          <w:vertAlign w:val="superscript"/>
        </w:rPr>
        <w:t>t</w:t>
      </w:r>
      <w:r>
        <w:rPr>
          <w:rFonts w:ascii="Arial" w:hAnsi="Arial" w:cs="Arial" w:hint="eastAsia"/>
          <w:b/>
          <w:bCs/>
          <w:kern w:val="0"/>
          <w:sz w:val="24"/>
          <w:vertAlign w:val="superscript"/>
        </w:rPr>
        <w:t>h</w:t>
      </w:r>
      <w:r>
        <w:rPr>
          <w:rFonts w:ascii="Arial" w:hAnsi="Arial" w:cs="Arial" w:hint="eastAsia"/>
          <w:b/>
          <w:bCs/>
          <w:kern w:val="0"/>
          <w:sz w:val="24"/>
        </w:rPr>
        <w:t xml:space="preserve"> - 28</w:t>
      </w:r>
      <w:r>
        <w:rPr>
          <w:rFonts w:ascii="Arial" w:hAnsi="Arial" w:cs="Arial" w:hint="eastAsia"/>
          <w:b/>
          <w:bCs/>
          <w:kern w:val="0"/>
          <w:sz w:val="24"/>
          <w:vertAlign w:val="superscript"/>
        </w:rPr>
        <w:t>th</w:t>
      </w:r>
      <w:r>
        <w:rPr>
          <w:rFonts w:ascii="Arial" w:hAnsi="Arial" w:cs="Arial" w:hint="eastAsia"/>
          <w:b/>
          <w:bCs/>
          <w:kern w:val="0"/>
          <w:sz w:val="24"/>
        </w:rPr>
        <w:t xml:space="preserve"> August</w:t>
      </w:r>
      <w:r>
        <w:rPr>
          <w:rFonts w:ascii="Arial" w:hAnsi="Arial" w:cs="Arial"/>
          <w:b/>
          <w:bCs/>
          <w:kern w:val="0"/>
          <w:sz w:val="24"/>
        </w:rPr>
        <w:t xml:space="preserve">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9D60FD" w:rsidRDefault="009636E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9D60FD" w:rsidRDefault="009636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9D60FD" w:rsidRDefault="009636E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Consideration on mobility enhancement in NTN</w:t>
      </w:r>
    </w:p>
    <w:p w:rsidR="009D60FD" w:rsidRDefault="009636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b/>
          <w:bCs/>
          <w:snapToGrid w:val="0"/>
          <w:kern w:val="0"/>
          <w:sz w:val="24"/>
        </w:rPr>
        <w:t>8.10.3.2</w:t>
      </w:r>
    </w:p>
    <w:p w:rsidR="009D60FD" w:rsidRDefault="009636E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9D60FD" w:rsidRDefault="009636E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D60FD" w:rsidRDefault="009636E5">
      <w:pPr>
        <w:spacing w:line="240" w:lineRule="auto"/>
        <w:jc w:val="left"/>
        <w:rPr>
          <w:sz w:val="20"/>
          <w:szCs w:val="20"/>
        </w:rPr>
      </w:pPr>
      <w:r>
        <w:rPr>
          <w:rFonts w:hint="eastAsia"/>
          <w:sz w:val="20"/>
          <w:szCs w:val="20"/>
        </w:rPr>
        <w:t xml:space="preserve">In this contribution, we share some consideration on the </w:t>
      </w:r>
      <w:r>
        <w:rPr>
          <w:sz w:val="20"/>
          <w:szCs w:val="20"/>
        </w:rPr>
        <w:t>mobility enhancement</w:t>
      </w:r>
      <w:r>
        <w:rPr>
          <w:rFonts w:hint="eastAsia"/>
          <w:sz w:val="20"/>
          <w:szCs w:val="20"/>
        </w:rPr>
        <w:t xml:space="preserve"> in NTN</w:t>
      </w:r>
      <w:r>
        <w:rPr>
          <w:sz w:val="20"/>
          <w:szCs w:val="20"/>
        </w:rPr>
        <w:t>, mainly focus on CHO, mobility configuration enhancement and UE location report</w:t>
      </w:r>
      <w:r>
        <w:rPr>
          <w:rFonts w:hint="eastAsia"/>
          <w:sz w:val="20"/>
          <w:szCs w:val="20"/>
        </w:rPr>
        <w:t>.</w:t>
      </w:r>
    </w:p>
    <w:p w:rsidR="009D60FD" w:rsidRDefault="009636E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9D60FD" w:rsidRDefault="009636E5">
      <w:pPr>
        <w:pStyle w:val="Heading2"/>
        <w:numPr>
          <w:ilvl w:val="1"/>
          <w:numId w:val="3"/>
        </w:numPr>
        <w:rPr>
          <w:rFonts w:eastAsiaTheme="minorEastAsia"/>
          <w:b w:val="0"/>
          <w:sz w:val="30"/>
          <w:szCs w:val="30"/>
        </w:rPr>
      </w:pPr>
      <w:r>
        <w:rPr>
          <w:rFonts w:eastAsiaTheme="minorEastAsia"/>
          <w:b w:val="0"/>
          <w:sz w:val="30"/>
          <w:szCs w:val="30"/>
        </w:rPr>
        <w:t>CHO</w:t>
      </w:r>
    </w:p>
    <w:p w:rsidR="009D60FD" w:rsidRDefault="009636E5">
      <w:pPr>
        <w:spacing w:line="240" w:lineRule="auto"/>
        <w:jc w:val="left"/>
        <w:rPr>
          <w:sz w:val="20"/>
          <w:szCs w:val="20"/>
        </w:rPr>
      </w:pPr>
      <w:r>
        <w:rPr>
          <w:rFonts w:hint="eastAsia"/>
          <w:sz w:val="20"/>
          <w:szCs w:val="20"/>
        </w:rPr>
        <w:t>In NR R16, the CHO procedure</w:t>
      </w:r>
      <w:r>
        <w:rPr>
          <w:sz w:val="20"/>
          <w:szCs w:val="20"/>
        </w:rPr>
        <w:t xml:space="preserve"> has been introduced to improve the handover robustness.</w:t>
      </w:r>
      <w:r>
        <w:rPr>
          <w:rFonts w:hint="eastAsia"/>
          <w:sz w:val="20"/>
          <w:szCs w:val="20"/>
        </w:rPr>
        <w:t xml:space="preserve"> CHO is executed by the UE when one or more CHO execution conditions are met. The UE starts evaluating the execution condition(s) upon receiving the CHO configuration, and stops evaluating the execution condition(s) once a handover is executed (legacy handover or conditional handover execution).</w:t>
      </w:r>
    </w:p>
    <w:p w:rsidR="009D60FD" w:rsidRDefault="009636E5">
      <w:pPr>
        <w:spacing w:line="240" w:lineRule="auto"/>
        <w:jc w:val="left"/>
        <w:rPr>
          <w:sz w:val="20"/>
          <w:szCs w:val="20"/>
        </w:rPr>
      </w:pPr>
      <w:r>
        <w:rPr>
          <w:rFonts w:hint="eastAsia"/>
          <w:sz w:val="20"/>
          <w:szCs w:val="20"/>
        </w:rPr>
        <w:t xml:space="preserve">The CHO configuration contains the configuration of CHO candidate cell(s) generated by the candidate gNB(s) and execution condition(s) generated by the source gNB. An execution condition may consist of one or two trigger condition(s) (CHO events A3/A5). </w:t>
      </w:r>
    </w:p>
    <w:p w:rsidR="009D60FD" w:rsidRDefault="009636E5">
      <w:pPr>
        <w:spacing w:line="240" w:lineRule="auto"/>
        <w:jc w:val="left"/>
        <w:rPr>
          <w:sz w:val="20"/>
          <w:szCs w:val="20"/>
        </w:rPr>
      </w:pPr>
      <w:r>
        <w:rPr>
          <w:rFonts w:hint="eastAsia"/>
          <w:sz w:val="20"/>
          <w:szCs w:val="20"/>
        </w:rPr>
        <w:t>The following CHO events have been defined for CHO:</w:t>
      </w:r>
    </w:p>
    <w:p w:rsidR="009D60FD" w:rsidRDefault="009636E5">
      <w:pPr>
        <w:spacing w:line="240" w:lineRule="auto"/>
        <w:jc w:val="left"/>
        <w:rPr>
          <w:sz w:val="20"/>
          <w:szCs w:val="20"/>
        </w:rPr>
      </w:pPr>
      <w:r>
        <w:rPr>
          <w:rFonts w:hint="eastAsia"/>
          <w:sz w:val="20"/>
          <w:szCs w:val="20"/>
        </w:rPr>
        <w:t>CondEvent A3: Conditional reconfiguration candidate becomes amount of offset better than PCell/PSCell;</w:t>
      </w:r>
    </w:p>
    <w:p w:rsidR="009D60FD" w:rsidRDefault="009636E5">
      <w:pPr>
        <w:spacing w:line="240" w:lineRule="auto"/>
        <w:jc w:val="left"/>
        <w:rPr>
          <w:sz w:val="20"/>
          <w:szCs w:val="20"/>
        </w:rPr>
      </w:pPr>
      <w:r>
        <w:rPr>
          <w:rFonts w:hint="eastAsia"/>
          <w:sz w:val="20"/>
          <w:szCs w:val="20"/>
        </w:rPr>
        <w:t>CondEvent A5: PCell/PSCell becomes worse than absolute threshold1 AND Conditional reconfiguration candidate becomes better than another absolute threshold2.</w:t>
      </w:r>
    </w:p>
    <w:p w:rsidR="009D60FD" w:rsidRDefault="009636E5">
      <w:pPr>
        <w:spacing w:line="240" w:lineRule="auto"/>
        <w:jc w:val="left"/>
        <w:rPr>
          <w:sz w:val="20"/>
          <w:szCs w:val="20"/>
        </w:rPr>
      </w:pPr>
      <w:r>
        <w:rPr>
          <w:rFonts w:hint="eastAsia"/>
          <w:sz w:val="20"/>
          <w:szCs w:val="20"/>
        </w:rPr>
        <w:t>Thus, an execution condition for a CHO candidate cell can be A3, A5, A3+A3, A3+A5, or A5+A5.</w:t>
      </w:r>
    </w:p>
    <w:p w:rsidR="009D60FD" w:rsidRDefault="009636E5">
      <w:pPr>
        <w:spacing w:line="240" w:lineRule="auto"/>
        <w:jc w:val="left"/>
        <w:rPr>
          <w:sz w:val="20"/>
          <w:szCs w:val="20"/>
        </w:rPr>
      </w:pPr>
      <w:r>
        <w:rPr>
          <w:rFonts w:hint="eastAsia"/>
          <w:sz w:val="20"/>
          <w:szCs w:val="20"/>
        </w:rPr>
        <w:t>For the location/timer/timing advance/elevation angle based execution conditions proposed during the NTN SI phase [1],   they all require UE location information. For UE without GNSS support, only the NR R16 measurement based execution condition can be applied.</w:t>
      </w:r>
    </w:p>
    <w:p w:rsidR="009D60FD" w:rsidRDefault="009636E5">
      <w:pPr>
        <w:spacing w:line="240" w:lineRule="auto"/>
        <w:jc w:val="left"/>
        <w:rPr>
          <w:sz w:val="20"/>
          <w:szCs w:val="20"/>
        </w:rPr>
      </w:pPr>
      <w:r>
        <w:rPr>
          <w:rFonts w:hint="eastAsia"/>
          <w:sz w:val="20"/>
          <w:szCs w:val="20"/>
        </w:rPr>
        <w:t>In addition, the location/timer/timing advance/elevation angle based execution conditions are not quite reliable as the the coverage may not be consistent with varying channel conditions. Configuring one of these conditions alone may cause more CHO failure. Thus, even for UE with GNSS, the NR R16 measurement based CHO execution condition are also useful to ensure a robust CHO.</w:t>
      </w:r>
    </w:p>
    <w:p w:rsidR="009D60FD" w:rsidRDefault="009636E5">
      <w:pPr>
        <w:spacing w:line="240" w:lineRule="auto"/>
        <w:jc w:val="left"/>
        <w:rPr>
          <w:b/>
          <w:bCs/>
          <w:sz w:val="20"/>
          <w:szCs w:val="20"/>
        </w:rPr>
      </w:pPr>
      <w:r>
        <w:rPr>
          <w:rFonts w:hint="eastAsia"/>
          <w:b/>
          <w:bCs/>
          <w:sz w:val="20"/>
          <w:szCs w:val="20"/>
        </w:rPr>
        <w:lastRenderedPageBreak/>
        <w:t>Proposal 1: NR R16 CHO procedure and execution conditions (A3/A5/A3+A5/A3+A3/A5+A5) should be taken as a baseline in NTN.</w:t>
      </w:r>
    </w:p>
    <w:p w:rsidR="009D60FD" w:rsidRDefault="009636E5">
      <w:pPr>
        <w:spacing w:line="240" w:lineRule="auto"/>
        <w:jc w:val="left"/>
        <w:rPr>
          <w:sz w:val="20"/>
          <w:szCs w:val="20"/>
        </w:rPr>
      </w:pPr>
      <w:r>
        <w:rPr>
          <w:rFonts w:hint="eastAsia"/>
          <w:sz w:val="20"/>
          <w:szCs w:val="20"/>
        </w:rPr>
        <w:t>For the location/timer/timing advance/elevation angle based execution conditions proposed during the SI phase, considering the timer/timing advance/elevation angle based execution conditions are all evaluated based on the UE location and satellite position, there is no need to support all of them.</w:t>
      </w:r>
    </w:p>
    <w:p w:rsidR="009D60FD" w:rsidRDefault="009636E5">
      <w:pPr>
        <w:spacing w:line="240" w:lineRule="auto"/>
        <w:jc w:val="left"/>
        <w:rPr>
          <w:b/>
          <w:bCs/>
          <w:sz w:val="20"/>
          <w:szCs w:val="20"/>
        </w:rPr>
      </w:pPr>
      <w:r>
        <w:rPr>
          <w:rFonts w:hint="eastAsia"/>
          <w:b/>
          <w:bCs/>
          <w:sz w:val="20"/>
          <w:szCs w:val="20"/>
        </w:rPr>
        <w:t>Proposal 2: Select one from the following execution conditions in addition to NR R16 CHO execution condition:</w:t>
      </w:r>
    </w:p>
    <w:p w:rsidR="009D60FD" w:rsidRDefault="009636E5">
      <w:pPr>
        <w:numPr>
          <w:ilvl w:val="0"/>
          <w:numId w:val="4"/>
        </w:numPr>
        <w:spacing w:line="240" w:lineRule="auto"/>
        <w:jc w:val="left"/>
        <w:rPr>
          <w:b/>
          <w:bCs/>
          <w:sz w:val="20"/>
          <w:szCs w:val="20"/>
        </w:rPr>
      </w:pPr>
      <w:r>
        <w:rPr>
          <w:rFonts w:hint="eastAsia"/>
          <w:b/>
          <w:bCs/>
          <w:sz w:val="20"/>
          <w:szCs w:val="20"/>
        </w:rPr>
        <w:t>Solution 1: Location-based execution condition</w:t>
      </w:r>
    </w:p>
    <w:p w:rsidR="009D60FD" w:rsidRDefault="009636E5">
      <w:pPr>
        <w:numPr>
          <w:ilvl w:val="0"/>
          <w:numId w:val="4"/>
        </w:numPr>
        <w:spacing w:line="240" w:lineRule="auto"/>
        <w:jc w:val="left"/>
        <w:rPr>
          <w:b/>
          <w:bCs/>
          <w:sz w:val="20"/>
          <w:szCs w:val="20"/>
        </w:rPr>
      </w:pPr>
      <w:r>
        <w:rPr>
          <w:rFonts w:hint="eastAsia"/>
          <w:b/>
          <w:bCs/>
          <w:sz w:val="20"/>
          <w:szCs w:val="20"/>
        </w:rPr>
        <w:t>Solution 2: Time/Timer based execution condition</w:t>
      </w:r>
    </w:p>
    <w:p w:rsidR="009D60FD" w:rsidRDefault="009636E5">
      <w:pPr>
        <w:numPr>
          <w:ilvl w:val="0"/>
          <w:numId w:val="4"/>
        </w:numPr>
        <w:spacing w:line="240" w:lineRule="auto"/>
        <w:jc w:val="left"/>
        <w:rPr>
          <w:b/>
          <w:bCs/>
          <w:sz w:val="20"/>
          <w:szCs w:val="20"/>
        </w:rPr>
      </w:pPr>
      <w:r>
        <w:rPr>
          <w:rFonts w:hint="eastAsia"/>
          <w:b/>
          <w:bCs/>
          <w:sz w:val="20"/>
          <w:szCs w:val="20"/>
        </w:rPr>
        <w:t>Solution 3: Timing advance based execution condition</w:t>
      </w:r>
    </w:p>
    <w:p w:rsidR="009D60FD" w:rsidRDefault="009636E5">
      <w:pPr>
        <w:numPr>
          <w:ilvl w:val="0"/>
          <w:numId w:val="4"/>
        </w:numPr>
        <w:spacing w:line="240" w:lineRule="auto"/>
        <w:jc w:val="left"/>
        <w:rPr>
          <w:b/>
          <w:bCs/>
          <w:sz w:val="20"/>
          <w:szCs w:val="20"/>
        </w:rPr>
      </w:pPr>
      <w:r>
        <w:rPr>
          <w:rFonts w:hint="eastAsia"/>
          <w:b/>
          <w:bCs/>
          <w:sz w:val="20"/>
          <w:szCs w:val="20"/>
        </w:rPr>
        <w:t>Solution 4: Elevation angle based execution condition</w:t>
      </w:r>
    </w:p>
    <w:p w:rsidR="009D60FD" w:rsidRDefault="009636E5">
      <w:pPr>
        <w:pStyle w:val="Heading2"/>
        <w:ind w:left="0" w:firstLine="0"/>
        <w:rPr>
          <w:b w:val="0"/>
          <w:bCs w:val="0"/>
          <w:sz w:val="30"/>
          <w:szCs w:val="30"/>
          <w:lang w:val="en-US"/>
        </w:rPr>
      </w:pPr>
      <w:r>
        <w:rPr>
          <w:rFonts w:hint="eastAsia"/>
          <w:b w:val="0"/>
          <w:bCs w:val="0"/>
          <w:sz w:val="30"/>
          <w:szCs w:val="30"/>
          <w:lang w:val="en-US"/>
        </w:rPr>
        <w:t xml:space="preserve">2.2. </w:t>
      </w:r>
      <w:r w:rsidRPr="00FF37EF">
        <w:rPr>
          <w:rFonts w:eastAsiaTheme="minorEastAsia" w:hint="eastAsia"/>
          <w:b w:val="0"/>
          <w:sz w:val="30"/>
          <w:szCs w:val="30"/>
        </w:rPr>
        <w:t>Mobility configuration enhancement</w:t>
      </w:r>
    </w:p>
    <w:p w:rsidR="009D60FD" w:rsidRDefault="009636E5">
      <w:pPr>
        <w:jc w:val="left"/>
        <w:rPr>
          <w:sz w:val="20"/>
          <w:szCs w:val="20"/>
        </w:rPr>
      </w:pPr>
      <w:r>
        <w:rPr>
          <w:sz w:val="20"/>
          <w:szCs w:val="20"/>
        </w:rPr>
        <w:t>The following signaling optimization for HO command has been proposed during the SI phase:</w:t>
      </w:r>
    </w:p>
    <w:p w:rsidR="009D60FD" w:rsidRDefault="009636E5">
      <w:pPr>
        <w:widowControl/>
        <w:numPr>
          <w:ilvl w:val="0"/>
          <w:numId w:val="5"/>
        </w:numPr>
        <w:overflowPunct w:val="0"/>
        <w:autoSpaceDE w:val="0"/>
        <w:autoSpaceDN w:val="0"/>
        <w:adjustRightInd w:val="0"/>
        <w:spacing w:after="180" w:line="240" w:lineRule="auto"/>
        <w:jc w:val="left"/>
        <w:rPr>
          <w:sz w:val="20"/>
          <w:szCs w:val="20"/>
        </w:rPr>
      </w:pPr>
      <w:r>
        <w:rPr>
          <w:sz w:val="20"/>
          <w:szCs w:val="20"/>
        </w:rPr>
        <w:t>Broadcast common signaling in the HO configuration (e.g. T304 and spCellConfigCommon) via system information and provide the dedicated part via HO command.</w:t>
      </w:r>
    </w:p>
    <w:p w:rsidR="009D60FD" w:rsidRDefault="009636E5">
      <w:pPr>
        <w:widowControl/>
        <w:numPr>
          <w:ilvl w:val="0"/>
          <w:numId w:val="5"/>
        </w:numPr>
        <w:overflowPunct w:val="0"/>
        <w:autoSpaceDE w:val="0"/>
        <w:autoSpaceDN w:val="0"/>
        <w:adjustRightInd w:val="0"/>
        <w:spacing w:after="180" w:line="240" w:lineRule="auto"/>
        <w:jc w:val="left"/>
        <w:rPr>
          <w:sz w:val="20"/>
          <w:szCs w:val="20"/>
        </w:rPr>
      </w:pPr>
      <w:r>
        <w:rPr>
          <w:sz w:val="20"/>
          <w:szCs w:val="20"/>
        </w:rPr>
        <w:t xml:space="preserve">Define typical HO configuration associated with index and provide the index with or </w:t>
      </w:r>
      <w:r w:rsidR="008455EB">
        <w:rPr>
          <w:sz w:val="20"/>
          <w:szCs w:val="20"/>
        </w:rPr>
        <w:t>without the delta part in HO co</w:t>
      </w:r>
      <w:r>
        <w:rPr>
          <w:sz w:val="20"/>
          <w:szCs w:val="20"/>
        </w:rPr>
        <w:t>m</w:t>
      </w:r>
      <w:r w:rsidR="008455EB">
        <w:rPr>
          <w:rFonts w:hint="eastAsia"/>
          <w:sz w:val="20"/>
          <w:szCs w:val="20"/>
        </w:rPr>
        <w:t>m</w:t>
      </w:r>
      <w:r>
        <w:rPr>
          <w:sz w:val="20"/>
          <w:szCs w:val="20"/>
        </w:rPr>
        <w:t>and. The typical HO configuration can be broadcast to UE or pre-configured to UE and get updated via NAS signaling.</w:t>
      </w:r>
    </w:p>
    <w:p w:rsidR="009D60FD" w:rsidRDefault="009636E5">
      <w:pPr>
        <w:jc w:val="left"/>
        <w:rPr>
          <w:sz w:val="20"/>
          <w:szCs w:val="20"/>
        </w:rPr>
      </w:pPr>
      <w:r>
        <w:rPr>
          <w:sz w:val="20"/>
          <w:szCs w:val="20"/>
        </w:rPr>
        <w:t>The benefits of broadcasting the common signaling in system information are not justified as it is not clear how many UEs will share the common configuration and how frequent the modification is required for the common signaling.</w:t>
      </w:r>
    </w:p>
    <w:p w:rsidR="009D60FD" w:rsidRDefault="009636E5">
      <w:pPr>
        <w:jc w:val="left"/>
        <w:rPr>
          <w:sz w:val="20"/>
          <w:szCs w:val="20"/>
        </w:rPr>
      </w:pPr>
      <w:r>
        <w:rPr>
          <w:sz w:val="20"/>
          <w:szCs w:val="20"/>
        </w:rPr>
        <w:t>In our understanding, the benefits for defining typical HO configuration associated with index are quite straightforward as more than one typical configuration can be pre-configured and index along with delta part in HO command offers sufficient flexibility and reduces the signaling overhead by replacing the typical configuration part with a index.</w:t>
      </w:r>
    </w:p>
    <w:p w:rsidR="009D60FD" w:rsidRDefault="009636E5">
      <w:pPr>
        <w:jc w:val="left"/>
        <w:rPr>
          <w:b/>
          <w:bCs/>
          <w:sz w:val="20"/>
          <w:szCs w:val="20"/>
        </w:rPr>
      </w:pPr>
      <w:r>
        <w:rPr>
          <w:b/>
          <w:bCs/>
          <w:sz w:val="20"/>
          <w:szCs w:val="20"/>
        </w:rPr>
        <w:t xml:space="preserve">Proposal </w:t>
      </w:r>
      <w:r>
        <w:rPr>
          <w:rFonts w:hint="eastAsia"/>
          <w:b/>
          <w:bCs/>
          <w:sz w:val="20"/>
          <w:szCs w:val="20"/>
        </w:rPr>
        <w:t>3</w:t>
      </w:r>
      <w:r>
        <w:rPr>
          <w:b/>
          <w:bCs/>
          <w:sz w:val="20"/>
          <w:szCs w:val="20"/>
        </w:rPr>
        <w:t xml:space="preserve">: Typical HO configuration associated with index should be defined and pre-configured to UE. The index associated with one typical configuration with </w:t>
      </w:r>
      <w:r w:rsidR="008455EB">
        <w:rPr>
          <w:b/>
          <w:bCs/>
          <w:sz w:val="20"/>
          <w:szCs w:val="20"/>
        </w:rPr>
        <w:t>or without delta configuration is</w:t>
      </w:r>
      <w:r>
        <w:rPr>
          <w:b/>
          <w:bCs/>
          <w:sz w:val="20"/>
          <w:szCs w:val="20"/>
        </w:rPr>
        <w:t xml:space="preserve"> </w:t>
      </w:r>
      <w:r w:rsidR="008455EB">
        <w:rPr>
          <w:b/>
          <w:bCs/>
          <w:sz w:val="20"/>
          <w:szCs w:val="20"/>
        </w:rPr>
        <w:t>configure</w:t>
      </w:r>
      <w:r>
        <w:rPr>
          <w:b/>
          <w:bCs/>
          <w:sz w:val="20"/>
          <w:szCs w:val="20"/>
        </w:rPr>
        <w:t>d to UE in Handover Command.</w:t>
      </w:r>
    </w:p>
    <w:p w:rsidR="009D60FD" w:rsidRDefault="009636E5">
      <w:pPr>
        <w:pStyle w:val="Heading2"/>
        <w:ind w:left="0" w:firstLine="0"/>
        <w:rPr>
          <w:sz w:val="20"/>
          <w:szCs w:val="20"/>
          <w:lang w:val="en-US"/>
        </w:rPr>
      </w:pPr>
      <w:r>
        <w:rPr>
          <w:rFonts w:hint="eastAsia"/>
          <w:b w:val="0"/>
          <w:bCs w:val="0"/>
          <w:sz w:val="30"/>
          <w:szCs w:val="30"/>
          <w:lang w:val="en-US"/>
        </w:rPr>
        <w:t>2.3.</w:t>
      </w:r>
      <w:r w:rsidRPr="00FF37EF">
        <w:rPr>
          <w:rFonts w:eastAsiaTheme="minorEastAsia"/>
          <w:b w:val="0"/>
          <w:sz w:val="30"/>
          <w:szCs w:val="30"/>
        </w:rPr>
        <w:t xml:space="preserve"> </w:t>
      </w:r>
      <w:r w:rsidRPr="00FF37EF">
        <w:rPr>
          <w:rFonts w:eastAsiaTheme="minorEastAsia" w:hint="eastAsia"/>
          <w:b w:val="0"/>
          <w:sz w:val="30"/>
          <w:szCs w:val="30"/>
        </w:rPr>
        <w:t>UE location report</w:t>
      </w:r>
    </w:p>
    <w:p w:rsidR="009D60FD" w:rsidRDefault="009636E5">
      <w:pPr>
        <w:rPr>
          <w:szCs w:val="21"/>
        </w:rPr>
      </w:pPr>
      <w:r>
        <w:rPr>
          <w:rFonts w:hint="eastAsia"/>
          <w:szCs w:val="21"/>
        </w:rPr>
        <w:t>A non-terrestrial network may provide global, or multi-country coverage. NTN cell id may not provide sufficient accuracy to the network to ensure that the right, country-specific policies can be applied. UE location information, if available at network side, can be used as assistance information to help network apply the country-specific policies. In addition, network can take the UE location information into consideration to decide an appropriate HO target.</w:t>
      </w:r>
    </w:p>
    <w:p w:rsidR="009D60FD" w:rsidRDefault="009636E5">
      <w:pPr>
        <w:rPr>
          <w:b/>
          <w:bCs/>
          <w:sz w:val="20"/>
          <w:szCs w:val="20"/>
        </w:rPr>
      </w:pPr>
      <w:r>
        <w:rPr>
          <w:rFonts w:hint="eastAsia"/>
          <w:b/>
          <w:bCs/>
          <w:sz w:val="20"/>
          <w:szCs w:val="20"/>
        </w:rPr>
        <w:t>Observation 1: UE location information, if available at network side, can be used as assistance information to help network apply the country-specific policies and decide an appropriate HO target in mobility handling.</w:t>
      </w:r>
    </w:p>
    <w:p w:rsidR="009D60FD" w:rsidRDefault="009636E5">
      <w:pPr>
        <w:jc w:val="left"/>
        <w:rPr>
          <w:b/>
          <w:bCs/>
          <w:szCs w:val="21"/>
        </w:rPr>
      </w:pPr>
      <w:r>
        <w:rPr>
          <w:rFonts w:hint="eastAsia"/>
          <w:sz w:val="20"/>
          <w:szCs w:val="20"/>
        </w:rPr>
        <w:lastRenderedPageBreak/>
        <w:t xml:space="preserve">In R16, </w:t>
      </w:r>
      <w:r>
        <w:rPr>
          <w:rFonts w:hint="eastAsia"/>
          <w:i/>
          <w:iCs/>
          <w:sz w:val="20"/>
          <w:szCs w:val="20"/>
        </w:rPr>
        <w:t xml:space="preserve">includeCommonLocationInfo-r16 </w:t>
      </w:r>
      <w:r>
        <w:rPr>
          <w:rFonts w:hint="eastAsia"/>
          <w:sz w:val="20"/>
          <w:szCs w:val="20"/>
        </w:rPr>
        <w:t xml:space="preserve">has been introduced for UE supporting MDT to report its location information via </w:t>
      </w:r>
      <w:r>
        <w:rPr>
          <w:rFonts w:hint="eastAsia"/>
          <w:i/>
          <w:iCs/>
          <w:sz w:val="20"/>
          <w:szCs w:val="20"/>
        </w:rPr>
        <w:t>MeasurementReport message --&gt; measResults --&gt;locationInfo-r16</w:t>
      </w:r>
      <w:r>
        <w:rPr>
          <w:rFonts w:hint="eastAsia"/>
          <w:sz w:val="20"/>
          <w:szCs w:val="20"/>
        </w:rPr>
        <w:t xml:space="preserve">. </w:t>
      </w:r>
    </w:p>
    <w:p w:rsidR="009D60FD" w:rsidRDefault="009636E5">
      <w:pPr>
        <w:jc w:val="left"/>
        <w:rPr>
          <w:sz w:val="20"/>
          <w:szCs w:val="20"/>
        </w:rPr>
      </w:pPr>
      <w:r>
        <w:rPr>
          <w:rFonts w:hint="eastAsia"/>
          <w:sz w:val="20"/>
          <w:szCs w:val="20"/>
        </w:rPr>
        <w:t xml:space="preserve">For UE with GNSS support, similar mechanism can be applied. However, the UE location information is a kind of private information, an LS should be sent to SA2 to ask </w:t>
      </w:r>
      <w:r>
        <w:rPr>
          <w:sz w:val="20"/>
          <w:szCs w:val="20"/>
        </w:rPr>
        <w:t>i</w:t>
      </w:r>
      <w:r>
        <w:rPr>
          <w:rFonts w:hint="eastAsia"/>
          <w:sz w:val="20"/>
          <w:szCs w:val="20"/>
        </w:rPr>
        <w:t>f some kind of authorization from the User is needed before collecting the UE location information based on the positioning techniques.</w:t>
      </w:r>
    </w:p>
    <w:p w:rsidR="009D60FD" w:rsidRDefault="009636E5">
      <w:pPr>
        <w:rPr>
          <w:b/>
          <w:bCs/>
          <w:sz w:val="20"/>
          <w:szCs w:val="20"/>
        </w:rPr>
      </w:pPr>
      <w:r>
        <w:rPr>
          <w:rFonts w:hint="eastAsia"/>
          <w:b/>
          <w:bCs/>
          <w:sz w:val="20"/>
          <w:szCs w:val="20"/>
        </w:rPr>
        <w:t xml:space="preserve">Proposal 4a: An LS should be sent to SA2 to ask if some kind of authorization from the User is needed before collecting the </w:t>
      </w:r>
      <w:r w:rsidR="001B15D9">
        <w:rPr>
          <w:b/>
          <w:bCs/>
          <w:sz w:val="20"/>
          <w:szCs w:val="20"/>
        </w:rPr>
        <w:t xml:space="preserve">accurate UE </w:t>
      </w:r>
      <w:r>
        <w:rPr>
          <w:rFonts w:hint="eastAsia"/>
          <w:b/>
          <w:bCs/>
          <w:sz w:val="20"/>
          <w:szCs w:val="20"/>
        </w:rPr>
        <w:t xml:space="preserve">location information </w:t>
      </w:r>
      <w:r w:rsidR="001B15D9">
        <w:rPr>
          <w:b/>
          <w:bCs/>
          <w:sz w:val="20"/>
          <w:szCs w:val="20"/>
        </w:rPr>
        <w:t xml:space="preserve">acquired via GNSS </w:t>
      </w:r>
      <w:r>
        <w:rPr>
          <w:rFonts w:hint="eastAsia"/>
          <w:b/>
          <w:bCs/>
          <w:sz w:val="20"/>
          <w:szCs w:val="20"/>
        </w:rPr>
        <w:t>and report to network.</w:t>
      </w:r>
    </w:p>
    <w:p w:rsidR="009D60FD" w:rsidRDefault="009636E5">
      <w:pPr>
        <w:jc w:val="left"/>
        <w:rPr>
          <w:sz w:val="20"/>
          <w:szCs w:val="20"/>
        </w:rPr>
      </w:pPr>
      <w:r>
        <w:rPr>
          <w:rFonts w:hint="eastAsia"/>
          <w:sz w:val="20"/>
          <w:szCs w:val="20"/>
        </w:rPr>
        <w:t>If User is not willing to expose its accu</w:t>
      </w:r>
      <w:r w:rsidR="00B13FF7">
        <w:rPr>
          <w:rFonts w:hint="eastAsia"/>
          <w:sz w:val="20"/>
          <w:szCs w:val="20"/>
        </w:rPr>
        <w:t xml:space="preserve">rate location </w:t>
      </w:r>
      <w:r>
        <w:rPr>
          <w:rFonts w:hint="eastAsia"/>
          <w:sz w:val="20"/>
          <w:szCs w:val="20"/>
        </w:rPr>
        <w:t>information due to privacy concern, another option can also be considered to acquire coarse-grained UE location information without invasion of User privacy.</w:t>
      </w:r>
    </w:p>
    <w:p w:rsidR="009D60FD" w:rsidRDefault="009636E5">
      <w:pPr>
        <w:jc w:val="left"/>
        <w:rPr>
          <w:sz w:val="20"/>
          <w:szCs w:val="20"/>
        </w:rPr>
      </w:pPr>
      <w:r>
        <w:rPr>
          <w:rFonts w:hint="eastAsia"/>
          <w:sz w:val="20"/>
          <w:szCs w:val="20"/>
        </w:rPr>
        <w:t xml:space="preserve">As shown in Figure 1, both TN and NTN cells may be deployed in the same geographical area. </w:t>
      </w:r>
    </w:p>
    <w:p w:rsidR="009D60FD" w:rsidRDefault="009636E5">
      <w:pPr>
        <w:jc w:val="center"/>
        <w:rPr>
          <w:szCs w:val="22"/>
        </w:rPr>
      </w:pPr>
      <w:r>
        <w:rPr>
          <w:szCs w:val="22"/>
        </w:rPr>
        <w:object w:dxaOrig="5535" w:dyaOrig="4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1pt;height:214.35pt" o:ole="">
            <v:imagedata r:id="rId9" o:title=""/>
            <o:lock v:ext="edit" aspectratio="f"/>
          </v:shape>
          <o:OLEObject Type="Embed" ProgID="Visio.Drawing.11" ShapeID="_x0000_i1025" DrawAspect="Content" ObjectID="_1658164376" r:id="rId10"/>
        </w:object>
      </w:r>
    </w:p>
    <w:p w:rsidR="009D60FD" w:rsidRDefault="009636E5">
      <w:pPr>
        <w:jc w:val="center"/>
        <w:rPr>
          <w:sz w:val="20"/>
          <w:szCs w:val="20"/>
        </w:rPr>
      </w:pPr>
      <w:r>
        <w:rPr>
          <w:rFonts w:hint="eastAsia"/>
          <w:sz w:val="20"/>
          <w:szCs w:val="20"/>
        </w:rPr>
        <w:t>Figure 1. An example of TN and NTN cells within the same area</w:t>
      </w:r>
    </w:p>
    <w:p w:rsidR="009D60FD" w:rsidRDefault="009636E5">
      <w:pPr>
        <w:jc w:val="left"/>
        <w:rPr>
          <w:sz w:val="20"/>
          <w:szCs w:val="20"/>
        </w:rPr>
      </w:pPr>
      <w:r>
        <w:rPr>
          <w:rFonts w:hint="eastAsia"/>
          <w:sz w:val="20"/>
          <w:szCs w:val="20"/>
        </w:rPr>
        <w:t>When UE camps on a NTN cell, it can still perform measurements on neighboring TN cells based on the configuration received from the camped NTN cell and tries to receive system information (including PLMN identity,</w:t>
      </w:r>
      <w:r>
        <w:rPr>
          <w:sz w:val="20"/>
          <w:szCs w:val="20"/>
        </w:rPr>
        <w:t xml:space="preserve"> </w:t>
      </w:r>
      <w:r>
        <w:rPr>
          <w:rFonts w:hint="eastAsia"/>
          <w:sz w:val="20"/>
          <w:szCs w:val="20"/>
        </w:rPr>
        <w:t xml:space="preserve">TAI, NCGI and so on) from a TN cell. </w:t>
      </w:r>
    </w:p>
    <w:p w:rsidR="009D60FD" w:rsidRDefault="009636E5">
      <w:pPr>
        <w:rPr>
          <w:szCs w:val="21"/>
        </w:rPr>
      </w:pPr>
      <w:r>
        <w:rPr>
          <w:szCs w:val="21"/>
        </w:rPr>
        <w:t>PLMN-Id consists of Mobile Country Code (MCC) and Mobile Network Code (MNC).</w:t>
      </w:r>
    </w:p>
    <w:p w:rsidR="009D60FD" w:rsidRDefault="009636E5">
      <w:pPr>
        <w:pStyle w:val="B1"/>
        <w:ind w:firstLine="1050"/>
        <w:rPr>
          <w:sz w:val="21"/>
          <w:szCs w:val="21"/>
        </w:rPr>
      </w:pPr>
      <w:r>
        <w:rPr>
          <w:sz w:val="21"/>
          <w:szCs w:val="21"/>
        </w:rPr>
        <w:t>-</w:t>
      </w:r>
      <w:r>
        <w:rPr>
          <w:sz w:val="21"/>
          <w:szCs w:val="21"/>
        </w:rPr>
        <w:tab/>
        <w:t>PLMN-Id = MCC || MNC</w:t>
      </w:r>
    </w:p>
    <w:p w:rsidR="009D60FD" w:rsidRDefault="009636E5">
      <w:pPr>
        <w:jc w:val="left"/>
        <w:rPr>
          <w:sz w:val="20"/>
          <w:szCs w:val="20"/>
        </w:rPr>
      </w:pPr>
      <w:r>
        <w:rPr>
          <w:rFonts w:hint="eastAsia"/>
          <w:sz w:val="20"/>
          <w:szCs w:val="20"/>
        </w:rPr>
        <w:t>Such TN cell information (e.g. PLMN identity, TAI and NCGI) can show coarse-grained UE location information. At least which country the UE is in can be reflected by such information.</w:t>
      </w:r>
    </w:p>
    <w:p w:rsidR="009D60FD" w:rsidRDefault="009636E5">
      <w:pPr>
        <w:jc w:val="left"/>
        <w:rPr>
          <w:sz w:val="20"/>
          <w:szCs w:val="20"/>
        </w:rPr>
      </w:pPr>
      <w:r>
        <w:rPr>
          <w:rFonts w:hint="eastAsia"/>
          <w:sz w:val="20"/>
          <w:szCs w:val="20"/>
        </w:rPr>
        <w:t>UE can then report such TN cell information (e.g. PLMN identity, TAI and NCGI) to the serving NTN cell via RRC message to help network apply right, country-specific policies to this UE.</w:t>
      </w:r>
    </w:p>
    <w:p w:rsidR="009D60FD" w:rsidRDefault="009636E5">
      <w:pPr>
        <w:jc w:val="center"/>
        <w:rPr>
          <w:szCs w:val="22"/>
        </w:rPr>
      </w:pPr>
      <w:r>
        <w:rPr>
          <w:szCs w:val="22"/>
        </w:rPr>
        <w:object w:dxaOrig="7080" w:dyaOrig="3840">
          <v:shape id="_x0000_i1026" type="#_x0000_t75" style="width:354.15pt;height:191.7pt" o:ole="">
            <v:imagedata r:id="rId11" o:title=""/>
            <o:lock v:ext="edit" aspectratio="f"/>
          </v:shape>
          <o:OLEObject Type="Embed" ProgID="Visio.Drawing.11" ShapeID="_x0000_i1026" DrawAspect="Content" ObjectID="_1658164377" r:id="rId12"/>
        </w:object>
      </w:r>
    </w:p>
    <w:p w:rsidR="009D60FD" w:rsidRDefault="009636E5">
      <w:pPr>
        <w:jc w:val="center"/>
        <w:rPr>
          <w:sz w:val="20"/>
          <w:szCs w:val="20"/>
        </w:rPr>
      </w:pPr>
      <w:r>
        <w:rPr>
          <w:rFonts w:hint="eastAsia"/>
          <w:sz w:val="20"/>
          <w:szCs w:val="20"/>
        </w:rPr>
        <w:t>Figure 2. Report TN cell information to NTN network to show UE location</w:t>
      </w:r>
    </w:p>
    <w:p w:rsidR="009D60FD" w:rsidRDefault="009636E5">
      <w:pPr>
        <w:jc w:val="left"/>
        <w:rPr>
          <w:sz w:val="20"/>
          <w:szCs w:val="20"/>
        </w:rPr>
      </w:pPr>
      <w:r>
        <w:rPr>
          <w:rFonts w:hint="eastAsia"/>
          <w:sz w:val="20"/>
          <w:szCs w:val="20"/>
        </w:rPr>
        <w:t>A comparison table is given below to show the pros and cons of the methods that may be useful to help decide and apply country-specific policies in NTN:</w:t>
      </w:r>
    </w:p>
    <w:p w:rsidR="009D60FD" w:rsidRDefault="009636E5">
      <w:pPr>
        <w:jc w:val="center"/>
        <w:rPr>
          <w:b/>
          <w:bCs/>
          <w:sz w:val="20"/>
          <w:szCs w:val="20"/>
        </w:rPr>
      </w:pPr>
      <w:r>
        <w:rPr>
          <w:rFonts w:hint="eastAsia"/>
          <w:b/>
          <w:bCs/>
          <w:sz w:val="20"/>
          <w:szCs w:val="20"/>
        </w:rPr>
        <w:t>Table 1. Pros and cons of all the methods to help apply country-specific policies in NTN</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3285"/>
        <w:gridCol w:w="3285"/>
      </w:tblGrid>
      <w:tr w:rsidR="009D60FD">
        <w:tc>
          <w:tcPr>
            <w:tcW w:w="3284" w:type="dxa"/>
            <w:tcBorders>
              <w:top w:val="single" w:sz="8" w:space="0" w:color="4F81BD"/>
              <w:left w:val="single" w:sz="8" w:space="0" w:color="4F81BD"/>
              <w:bottom w:val="single" w:sz="8" w:space="0" w:color="4F81BD"/>
              <w:right w:val="dotted" w:sz="8" w:space="0" w:color="auto"/>
            </w:tcBorders>
            <w:shd w:val="clear" w:color="auto" w:fill="4F81BD"/>
          </w:tcPr>
          <w:p w:rsidR="009D60FD" w:rsidRDefault="009D60FD">
            <w:pPr>
              <w:jc w:val="left"/>
              <w:rPr>
                <w:color w:val="FFFFFF"/>
                <w:sz w:val="20"/>
                <w:szCs w:val="20"/>
              </w:rPr>
            </w:pPr>
          </w:p>
        </w:tc>
        <w:tc>
          <w:tcPr>
            <w:tcW w:w="3285" w:type="dxa"/>
            <w:tcBorders>
              <w:top w:val="single" w:sz="8" w:space="0" w:color="4F81BD"/>
              <w:left w:val="dotted" w:sz="8" w:space="0" w:color="auto"/>
              <w:bottom w:val="single" w:sz="8" w:space="0" w:color="4F81BD"/>
              <w:right w:val="dotted" w:sz="8" w:space="0" w:color="auto"/>
            </w:tcBorders>
            <w:shd w:val="clear" w:color="auto" w:fill="4F81BD"/>
          </w:tcPr>
          <w:p w:rsidR="009D60FD" w:rsidRDefault="009636E5">
            <w:pPr>
              <w:jc w:val="left"/>
              <w:rPr>
                <w:color w:val="FFFFFF"/>
                <w:sz w:val="20"/>
                <w:szCs w:val="20"/>
              </w:rPr>
            </w:pPr>
            <w:r>
              <w:rPr>
                <w:rFonts w:hint="eastAsia"/>
                <w:color w:val="FFFFFF"/>
                <w:sz w:val="20"/>
                <w:szCs w:val="20"/>
              </w:rPr>
              <w:t>Pros</w:t>
            </w:r>
          </w:p>
        </w:tc>
        <w:tc>
          <w:tcPr>
            <w:tcW w:w="3285" w:type="dxa"/>
            <w:tcBorders>
              <w:top w:val="single" w:sz="8" w:space="0" w:color="4F81BD"/>
              <w:left w:val="dotted" w:sz="8" w:space="0" w:color="auto"/>
              <w:bottom w:val="single" w:sz="8" w:space="0" w:color="4F81BD"/>
              <w:right w:val="single" w:sz="8" w:space="0" w:color="4F81BD"/>
            </w:tcBorders>
            <w:shd w:val="clear" w:color="auto" w:fill="4F81BD"/>
          </w:tcPr>
          <w:p w:rsidR="009D60FD" w:rsidRDefault="009636E5">
            <w:pPr>
              <w:jc w:val="left"/>
              <w:rPr>
                <w:color w:val="FFFFFF"/>
                <w:sz w:val="20"/>
                <w:szCs w:val="20"/>
              </w:rPr>
            </w:pPr>
            <w:r>
              <w:rPr>
                <w:rFonts w:hint="eastAsia"/>
                <w:color w:val="FFFFFF"/>
                <w:sz w:val="20"/>
                <w:szCs w:val="20"/>
              </w:rPr>
              <w:t>Cons</w:t>
            </w:r>
          </w:p>
        </w:tc>
      </w:tr>
      <w:tr w:rsidR="009D60FD">
        <w:tc>
          <w:tcPr>
            <w:tcW w:w="3284" w:type="dxa"/>
            <w:tcBorders>
              <w:top w:val="single" w:sz="8" w:space="0" w:color="4F81BD"/>
              <w:left w:val="single" w:sz="8" w:space="0" w:color="4F81BD"/>
              <w:bottom w:val="single" w:sz="8" w:space="0" w:color="4F81BD"/>
              <w:right w:val="dotted" w:sz="8" w:space="0" w:color="auto"/>
            </w:tcBorders>
            <w:shd w:val="clear" w:color="auto" w:fill="E9EDF4"/>
          </w:tcPr>
          <w:p w:rsidR="009D60FD" w:rsidRDefault="009636E5">
            <w:pPr>
              <w:jc w:val="left"/>
              <w:rPr>
                <w:color w:val="000000"/>
                <w:sz w:val="20"/>
                <w:szCs w:val="20"/>
              </w:rPr>
            </w:pPr>
            <w:r>
              <w:rPr>
                <w:rFonts w:hint="eastAsia"/>
                <w:b/>
                <w:bCs/>
                <w:color w:val="000000"/>
                <w:sz w:val="20"/>
                <w:szCs w:val="20"/>
              </w:rPr>
              <w:t>Method 1:</w:t>
            </w:r>
            <w:r>
              <w:rPr>
                <w:rFonts w:hint="eastAsia"/>
                <w:color w:val="000000"/>
                <w:sz w:val="20"/>
                <w:szCs w:val="20"/>
              </w:rPr>
              <w:t xml:space="preserve"> UE location report with GNSS based positioning</w:t>
            </w:r>
          </w:p>
        </w:tc>
        <w:tc>
          <w:tcPr>
            <w:tcW w:w="3285" w:type="dxa"/>
            <w:tcBorders>
              <w:top w:val="single" w:sz="8" w:space="0" w:color="4F81BD"/>
              <w:left w:val="dotted" w:sz="8" w:space="0" w:color="auto"/>
              <w:bottom w:val="single" w:sz="8" w:space="0" w:color="4F81BD"/>
              <w:right w:val="dotted" w:sz="8" w:space="0" w:color="auto"/>
            </w:tcBorders>
            <w:shd w:val="clear" w:color="auto" w:fill="E9EDF4"/>
          </w:tcPr>
          <w:p w:rsidR="009D60FD" w:rsidRDefault="009636E5">
            <w:pPr>
              <w:widowControl/>
              <w:numPr>
                <w:ilvl w:val="0"/>
                <w:numId w:val="6"/>
              </w:numPr>
              <w:suppressAutoHyphens/>
              <w:overflowPunct w:val="0"/>
              <w:autoSpaceDE w:val="0"/>
              <w:spacing w:after="120" w:line="240" w:lineRule="auto"/>
              <w:jc w:val="left"/>
              <w:textAlignment w:val="baseline"/>
              <w:rPr>
                <w:color w:val="000000"/>
                <w:sz w:val="20"/>
                <w:szCs w:val="20"/>
              </w:rPr>
            </w:pPr>
            <w:r>
              <w:rPr>
                <w:rFonts w:hint="eastAsia"/>
                <w:color w:val="000000"/>
                <w:sz w:val="20"/>
                <w:szCs w:val="20"/>
              </w:rPr>
              <w:t>Accurate UE location can be reported to NTN network.</w:t>
            </w:r>
          </w:p>
        </w:tc>
        <w:tc>
          <w:tcPr>
            <w:tcW w:w="3285" w:type="dxa"/>
            <w:tcBorders>
              <w:top w:val="single" w:sz="8" w:space="0" w:color="4F81BD"/>
              <w:left w:val="dotted" w:sz="8" w:space="0" w:color="auto"/>
              <w:bottom w:val="single" w:sz="8" w:space="0" w:color="4F81BD"/>
              <w:right w:val="single" w:sz="8" w:space="0" w:color="4F81BD"/>
            </w:tcBorders>
            <w:shd w:val="clear" w:color="auto" w:fill="E9EDF4"/>
          </w:tcPr>
          <w:p w:rsidR="009D60FD" w:rsidRDefault="009636E5">
            <w:pPr>
              <w:widowControl/>
              <w:numPr>
                <w:ilvl w:val="0"/>
                <w:numId w:val="7"/>
              </w:numPr>
              <w:suppressAutoHyphens/>
              <w:overflowPunct w:val="0"/>
              <w:autoSpaceDE w:val="0"/>
              <w:spacing w:after="120" w:line="240" w:lineRule="auto"/>
              <w:jc w:val="left"/>
              <w:textAlignment w:val="baseline"/>
              <w:rPr>
                <w:color w:val="000000"/>
                <w:sz w:val="20"/>
                <w:szCs w:val="20"/>
              </w:rPr>
            </w:pPr>
            <w:r>
              <w:rPr>
                <w:rFonts w:hint="eastAsia"/>
                <w:color w:val="000000"/>
                <w:sz w:val="20"/>
                <w:szCs w:val="20"/>
              </w:rPr>
              <w:t>Only applicable to UE with GNSS support.</w:t>
            </w:r>
          </w:p>
          <w:p w:rsidR="009D60FD" w:rsidRDefault="009636E5">
            <w:pPr>
              <w:widowControl/>
              <w:numPr>
                <w:ilvl w:val="0"/>
                <w:numId w:val="7"/>
              </w:numPr>
              <w:suppressAutoHyphens/>
              <w:overflowPunct w:val="0"/>
              <w:autoSpaceDE w:val="0"/>
              <w:spacing w:after="120" w:line="240" w:lineRule="auto"/>
              <w:jc w:val="left"/>
              <w:textAlignment w:val="baseline"/>
              <w:rPr>
                <w:color w:val="000000"/>
                <w:sz w:val="20"/>
                <w:szCs w:val="20"/>
              </w:rPr>
            </w:pPr>
            <w:r>
              <w:rPr>
                <w:rFonts w:hint="eastAsia"/>
                <w:color w:val="000000"/>
                <w:sz w:val="20"/>
                <w:szCs w:val="20"/>
              </w:rPr>
              <w:t>A</w:t>
            </w:r>
            <w:r>
              <w:rPr>
                <w:color w:val="000000"/>
                <w:sz w:val="20"/>
                <w:szCs w:val="20"/>
              </w:rPr>
              <w:t>uthorization from the User is needed before U</w:t>
            </w:r>
            <w:r>
              <w:rPr>
                <w:rFonts w:hint="eastAsia"/>
                <w:color w:val="000000"/>
                <w:sz w:val="20"/>
                <w:szCs w:val="20"/>
              </w:rPr>
              <w:t xml:space="preserve">E </w:t>
            </w:r>
            <w:r>
              <w:rPr>
                <w:color w:val="000000"/>
                <w:sz w:val="20"/>
                <w:szCs w:val="20"/>
              </w:rPr>
              <w:t>collect the location information and report to network.</w:t>
            </w:r>
          </w:p>
        </w:tc>
      </w:tr>
      <w:tr w:rsidR="009D60FD">
        <w:tc>
          <w:tcPr>
            <w:tcW w:w="3284" w:type="dxa"/>
            <w:tcBorders>
              <w:top w:val="single" w:sz="8" w:space="0" w:color="4F81BD"/>
              <w:left w:val="single" w:sz="8" w:space="0" w:color="4F81BD"/>
              <w:bottom w:val="single" w:sz="8" w:space="0" w:color="4F81BD"/>
              <w:right w:val="dotted" w:sz="8" w:space="0" w:color="auto"/>
            </w:tcBorders>
            <w:shd w:val="clear" w:color="auto" w:fill="FFFFFF"/>
          </w:tcPr>
          <w:p w:rsidR="009D60FD" w:rsidRDefault="009636E5">
            <w:pPr>
              <w:jc w:val="left"/>
              <w:rPr>
                <w:color w:val="000000"/>
                <w:sz w:val="20"/>
                <w:szCs w:val="20"/>
              </w:rPr>
            </w:pPr>
            <w:r>
              <w:rPr>
                <w:rFonts w:hint="eastAsia"/>
                <w:b/>
                <w:bCs/>
                <w:color w:val="000000"/>
                <w:sz w:val="20"/>
                <w:szCs w:val="20"/>
              </w:rPr>
              <w:t xml:space="preserve">Method 2: </w:t>
            </w:r>
            <w:r>
              <w:rPr>
                <w:rFonts w:hint="eastAsia"/>
                <w:color w:val="000000"/>
                <w:sz w:val="20"/>
                <w:szCs w:val="20"/>
              </w:rPr>
              <w:t>UE acquire neighboring TN cell information and report to the camped NTN cell</w:t>
            </w:r>
          </w:p>
        </w:tc>
        <w:tc>
          <w:tcPr>
            <w:tcW w:w="3285" w:type="dxa"/>
            <w:tcBorders>
              <w:top w:val="single" w:sz="8" w:space="0" w:color="4F81BD"/>
              <w:left w:val="dotted" w:sz="8" w:space="0" w:color="auto"/>
              <w:bottom w:val="single" w:sz="8" w:space="0" w:color="4F81BD"/>
              <w:right w:val="dotted" w:sz="8" w:space="0" w:color="auto"/>
            </w:tcBorders>
            <w:shd w:val="clear" w:color="auto" w:fill="FFFFFF"/>
          </w:tcPr>
          <w:p w:rsidR="009D60FD" w:rsidRDefault="009636E5">
            <w:pPr>
              <w:widowControl/>
              <w:numPr>
                <w:ilvl w:val="0"/>
                <w:numId w:val="7"/>
              </w:numPr>
              <w:suppressAutoHyphens/>
              <w:overflowPunct w:val="0"/>
              <w:autoSpaceDE w:val="0"/>
              <w:spacing w:after="120" w:line="240" w:lineRule="auto"/>
              <w:jc w:val="left"/>
              <w:textAlignment w:val="baseline"/>
              <w:rPr>
                <w:color w:val="000000"/>
                <w:sz w:val="20"/>
                <w:szCs w:val="20"/>
              </w:rPr>
            </w:pPr>
            <w:r>
              <w:rPr>
                <w:rFonts w:hint="eastAsia"/>
                <w:color w:val="000000"/>
                <w:sz w:val="20"/>
                <w:szCs w:val="20"/>
              </w:rPr>
              <w:t>Applicable to UE with and without GNSS support.</w:t>
            </w:r>
          </w:p>
          <w:p w:rsidR="009D60FD" w:rsidRDefault="009636E5">
            <w:pPr>
              <w:widowControl/>
              <w:numPr>
                <w:ilvl w:val="0"/>
                <w:numId w:val="7"/>
              </w:numPr>
              <w:suppressAutoHyphens/>
              <w:overflowPunct w:val="0"/>
              <w:autoSpaceDE w:val="0"/>
              <w:spacing w:after="120" w:line="240" w:lineRule="auto"/>
              <w:jc w:val="left"/>
              <w:textAlignment w:val="baseline"/>
              <w:rPr>
                <w:color w:val="000000"/>
                <w:sz w:val="20"/>
                <w:szCs w:val="20"/>
              </w:rPr>
            </w:pPr>
            <w:r>
              <w:rPr>
                <w:rFonts w:hint="eastAsia"/>
                <w:color w:val="000000"/>
                <w:sz w:val="20"/>
                <w:szCs w:val="20"/>
              </w:rPr>
              <w:t>No Authorization from the User is needed.</w:t>
            </w:r>
          </w:p>
        </w:tc>
        <w:tc>
          <w:tcPr>
            <w:tcW w:w="3285" w:type="dxa"/>
            <w:tcBorders>
              <w:top w:val="single" w:sz="8" w:space="0" w:color="4F81BD"/>
              <w:left w:val="dotted" w:sz="8" w:space="0" w:color="auto"/>
              <w:bottom w:val="single" w:sz="8" w:space="0" w:color="4F81BD"/>
              <w:right w:val="single" w:sz="8" w:space="0" w:color="4F81BD"/>
            </w:tcBorders>
            <w:shd w:val="clear" w:color="auto" w:fill="FFFFFF"/>
          </w:tcPr>
          <w:p w:rsidR="009D60FD" w:rsidRDefault="009636E5">
            <w:pPr>
              <w:widowControl/>
              <w:numPr>
                <w:ilvl w:val="0"/>
                <w:numId w:val="7"/>
              </w:numPr>
              <w:suppressAutoHyphens/>
              <w:overflowPunct w:val="0"/>
              <w:autoSpaceDE w:val="0"/>
              <w:spacing w:after="120" w:line="240" w:lineRule="auto"/>
              <w:jc w:val="left"/>
              <w:textAlignment w:val="baseline"/>
              <w:rPr>
                <w:color w:val="000000"/>
                <w:sz w:val="20"/>
                <w:szCs w:val="20"/>
              </w:rPr>
            </w:pPr>
            <w:r>
              <w:rPr>
                <w:rFonts w:hint="eastAsia"/>
                <w:color w:val="000000"/>
                <w:sz w:val="20"/>
                <w:szCs w:val="20"/>
              </w:rPr>
              <w:t>The UE location is coarse -grained.</w:t>
            </w:r>
          </w:p>
        </w:tc>
      </w:tr>
    </w:tbl>
    <w:p w:rsidR="009D60FD" w:rsidRDefault="009636E5">
      <w:pPr>
        <w:rPr>
          <w:b/>
          <w:bCs/>
          <w:sz w:val="20"/>
          <w:szCs w:val="20"/>
        </w:rPr>
      </w:pPr>
      <w:r>
        <w:rPr>
          <w:rFonts w:hint="eastAsia"/>
          <w:b/>
          <w:bCs/>
          <w:sz w:val="20"/>
          <w:szCs w:val="20"/>
        </w:rPr>
        <w:t>Proposal 4b: For UE without GNSS capability or UE with GNSS capability but not allowing acquisition of its accurate location information, it should acquire neighboring TN cell information (e.g. PLMN identity, NCGI, TAI and so on) and report to the serving NTN cell.</w:t>
      </w:r>
    </w:p>
    <w:p w:rsidR="009D60FD" w:rsidRDefault="009636E5">
      <w:pPr>
        <w:jc w:val="left"/>
        <w:rPr>
          <w:sz w:val="20"/>
          <w:szCs w:val="20"/>
        </w:rPr>
      </w:pPr>
      <w:r>
        <w:rPr>
          <w:rFonts w:hint="eastAsia"/>
          <w:sz w:val="20"/>
          <w:szCs w:val="20"/>
        </w:rPr>
        <w:t>Another issue we need to consider is how often the location information will be sent from UE to network. Too frequent location reporting will not only consume network radio resources but also deplete UE power while infrequent location reporting may not be sufficient to apply country specific policy especially taking the fast moving LEO satellites and long propagation delay into account.</w:t>
      </w:r>
    </w:p>
    <w:p w:rsidR="009D60FD" w:rsidRDefault="009636E5">
      <w:pPr>
        <w:jc w:val="left"/>
        <w:rPr>
          <w:b/>
          <w:bCs/>
          <w:sz w:val="20"/>
          <w:szCs w:val="20"/>
        </w:rPr>
      </w:pPr>
      <w:r>
        <w:rPr>
          <w:rFonts w:hint="eastAsia"/>
          <w:sz w:val="20"/>
          <w:szCs w:val="20"/>
        </w:rPr>
        <w:t xml:space="preserve">One </w:t>
      </w:r>
      <w:r>
        <w:rPr>
          <w:sz w:val="20"/>
          <w:szCs w:val="20"/>
        </w:rPr>
        <w:t>straightforward solution to</w:t>
      </w:r>
      <w:r>
        <w:rPr>
          <w:rFonts w:hint="eastAsia"/>
          <w:sz w:val="20"/>
          <w:szCs w:val="20"/>
        </w:rPr>
        <w:t xml:space="preserve"> reduce</w:t>
      </w:r>
      <w:r>
        <w:rPr>
          <w:sz w:val="20"/>
          <w:szCs w:val="20"/>
        </w:rPr>
        <w:t xml:space="preserve"> the unnecessary location reporting is </w:t>
      </w:r>
      <w:r>
        <w:rPr>
          <w:rFonts w:hint="eastAsia"/>
          <w:sz w:val="20"/>
          <w:szCs w:val="20"/>
        </w:rPr>
        <w:t>to limit that UE only</w:t>
      </w:r>
      <w:r>
        <w:rPr>
          <w:sz w:val="20"/>
          <w:szCs w:val="20"/>
        </w:rPr>
        <w:t xml:space="preserve"> send location report when it moves </w:t>
      </w:r>
      <w:r>
        <w:rPr>
          <w:rFonts w:hint="eastAsia"/>
          <w:sz w:val="20"/>
          <w:szCs w:val="20"/>
        </w:rPr>
        <w:t xml:space="preserve">out of a </w:t>
      </w:r>
      <w:r>
        <w:rPr>
          <w:sz w:val="20"/>
          <w:szCs w:val="20"/>
        </w:rPr>
        <w:t xml:space="preserve">pre-configured </w:t>
      </w:r>
      <w:r>
        <w:rPr>
          <w:rFonts w:hint="eastAsia"/>
          <w:sz w:val="20"/>
          <w:szCs w:val="20"/>
        </w:rPr>
        <w:t xml:space="preserve">area. For the case when the tracking area is earth fixed, a TAI list can be configured to UE as a reference area and UE will only report its location information or neighboring TN cell information </w:t>
      </w:r>
      <w:r>
        <w:rPr>
          <w:rFonts w:hint="eastAsia"/>
          <w:sz w:val="20"/>
          <w:szCs w:val="20"/>
        </w:rPr>
        <w:lastRenderedPageBreak/>
        <w:t xml:space="preserve">when it moves out of this TAI list. </w:t>
      </w:r>
    </w:p>
    <w:p w:rsidR="009D60FD" w:rsidRDefault="009636E5">
      <w:pPr>
        <w:jc w:val="left"/>
        <w:rPr>
          <w:sz w:val="20"/>
          <w:szCs w:val="20"/>
        </w:rPr>
      </w:pPr>
      <w:r>
        <w:rPr>
          <w:rFonts w:hint="eastAsia"/>
          <w:b/>
          <w:bCs/>
          <w:sz w:val="20"/>
          <w:szCs w:val="20"/>
        </w:rPr>
        <w:t xml:space="preserve">Proposal </w:t>
      </w:r>
      <w:r>
        <w:rPr>
          <w:rFonts w:eastAsia="宋体" w:hint="eastAsia"/>
          <w:b/>
          <w:bCs/>
          <w:sz w:val="20"/>
          <w:szCs w:val="20"/>
        </w:rPr>
        <w:t>4c</w:t>
      </w:r>
      <w:r>
        <w:rPr>
          <w:rFonts w:hint="eastAsia"/>
          <w:b/>
          <w:bCs/>
          <w:sz w:val="20"/>
          <w:szCs w:val="20"/>
        </w:rPr>
        <w:t>: For the case when the TA is earth fixed, a TAI list should be configured to UE as a reference area and UE will only report its location information or neighboring TN cell information when it moves out of this TAI list.</w:t>
      </w:r>
    </w:p>
    <w:bookmarkEnd w:id="3"/>
    <w:p w:rsidR="009D60FD" w:rsidRDefault="009636E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9D60FD" w:rsidRDefault="009636E5">
      <w:pPr>
        <w:rPr>
          <w:sz w:val="20"/>
          <w:szCs w:val="20"/>
        </w:rPr>
      </w:pPr>
      <w:r>
        <w:rPr>
          <w:rFonts w:hint="eastAsia"/>
          <w:sz w:val="20"/>
          <w:szCs w:val="20"/>
        </w:rPr>
        <w:t>With the above analysis, we have the following conclusions and proposals:</w:t>
      </w:r>
    </w:p>
    <w:p w:rsidR="00252E1E" w:rsidRPr="00252E1E" w:rsidRDefault="00252E1E">
      <w:pPr>
        <w:spacing w:line="240" w:lineRule="auto"/>
        <w:jc w:val="left"/>
        <w:rPr>
          <w:sz w:val="20"/>
          <w:szCs w:val="20"/>
          <w:u w:val="single"/>
        </w:rPr>
      </w:pPr>
      <w:r w:rsidRPr="00252E1E">
        <w:rPr>
          <w:sz w:val="20"/>
          <w:szCs w:val="20"/>
          <w:u w:val="single"/>
        </w:rPr>
        <w:t>CHO</w:t>
      </w:r>
    </w:p>
    <w:p w:rsidR="009D60FD" w:rsidRDefault="009636E5">
      <w:pPr>
        <w:spacing w:line="240" w:lineRule="auto"/>
        <w:jc w:val="left"/>
        <w:rPr>
          <w:b/>
          <w:bCs/>
          <w:sz w:val="20"/>
          <w:szCs w:val="20"/>
        </w:rPr>
      </w:pPr>
      <w:r>
        <w:rPr>
          <w:rFonts w:hint="eastAsia"/>
          <w:b/>
          <w:bCs/>
          <w:sz w:val="20"/>
          <w:szCs w:val="20"/>
        </w:rPr>
        <w:t>Proposal 1: NR R16 CHO procedure and execution conditions (A3/A5/A3+A5/A3+A3/A5+A5) should be taken as a baseline in NTN.</w:t>
      </w:r>
    </w:p>
    <w:p w:rsidR="009D60FD" w:rsidRDefault="009636E5">
      <w:pPr>
        <w:spacing w:line="240" w:lineRule="auto"/>
        <w:jc w:val="left"/>
        <w:rPr>
          <w:b/>
          <w:bCs/>
          <w:sz w:val="20"/>
          <w:szCs w:val="20"/>
        </w:rPr>
      </w:pPr>
      <w:r>
        <w:rPr>
          <w:rFonts w:hint="eastAsia"/>
          <w:b/>
          <w:bCs/>
          <w:sz w:val="20"/>
          <w:szCs w:val="20"/>
        </w:rPr>
        <w:t>Proposal 2: Select one from the following execution conditions in addition to NR R16 CHO execution condition:</w:t>
      </w:r>
    </w:p>
    <w:p w:rsidR="009D60FD" w:rsidRDefault="009636E5">
      <w:pPr>
        <w:numPr>
          <w:ilvl w:val="0"/>
          <w:numId w:val="4"/>
        </w:numPr>
        <w:spacing w:line="240" w:lineRule="auto"/>
        <w:jc w:val="left"/>
        <w:rPr>
          <w:b/>
          <w:bCs/>
          <w:sz w:val="20"/>
          <w:szCs w:val="20"/>
        </w:rPr>
      </w:pPr>
      <w:r>
        <w:rPr>
          <w:rFonts w:hint="eastAsia"/>
          <w:b/>
          <w:bCs/>
          <w:sz w:val="20"/>
          <w:szCs w:val="20"/>
        </w:rPr>
        <w:t>Solution 1: Location-based execution condition</w:t>
      </w:r>
    </w:p>
    <w:p w:rsidR="009D60FD" w:rsidRDefault="009636E5">
      <w:pPr>
        <w:numPr>
          <w:ilvl w:val="0"/>
          <w:numId w:val="4"/>
        </w:numPr>
        <w:spacing w:line="240" w:lineRule="auto"/>
        <w:jc w:val="left"/>
        <w:rPr>
          <w:b/>
          <w:bCs/>
          <w:sz w:val="20"/>
          <w:szCs w:val="20"/>
        </w:rPr>
      </w:pPr>
      <w:r>
        <w:rPr>
          <w:rFonts w:hint="eastAsia"/>
          <w:b/>
          <w:bCs/>
          <w:sz w:val="20"/>
          <w:szCs w:val="20"/>
        </w:rPr>
        <w:t>Solution 2: Time/Timer based execution condition</w:t>
      </w:r>
    </w:p>
    <w:p w:rsidR="009D60FD" w:rsidRDefault="009636E5">
      <w:pPr>
        <w:numPr>
          <w:ilvl w:val="0"/>
          <w:numId w:val="4"/>
        </w:numPr>
        <w:spacing w:line="240" w:lineRule="auto"/>
        <w:jc w:val="left"/>
        <w:rPr>
          <w:b/>
          <w:bCs/>
          <w:sz w:val="20"/>
          <w:szCs w:val="20"/>
        </w:rPr>
      </w:pPr>
      <w:r>
        <w:rPr>
          <w:rFonts w:hint="eastAsia"/>
          <w:b/>
          <w:bCs/>
          <w:sz w:val="20"/>
          <w:szCs w:val="20"/>
        </w:rPr>
        <w:t>Solution 3: Timing advance based execution condition</w:t>
      </w:r>
    </w:p>
    <w:p w:rsidR="009D60FD" w:rsidRDefault="009636E5">
      <w:pPr>
        <w:numPr>
          <w:ilvl w:val="0"/>
          <w:numId w:val="4"/>
        </w:numPr>
        <w:spacing w:line="240" w:lineRule="auto"/>
        <w:jc w:val="left"/>
        <w:rPr>
          <w:b/>
          <w:bCs/>
          <w:sz w:val="20"/>
          <w:szCs w:val="20"/>
        </w:rPr>
      </w:pPr>
      <w:r>
        <w:rPr>
          <w:rFonts w:hint="eastAsia"/>
          <w:b/>
          <w:bCs/>
          <w:sz w:val="20"/>
          <w:szCs w:val="20"/>
        </w:rPr>
        <w:t>Solution 4: Elevation angle based execution condition</w:t>
      </w:r>
    </w:p>
    <w:p w:rsidR="00252E1E" w:rsidRPr="00252E1E" w:rsidRDefault="00252E1E" w:rsidP="00252E1E">
      <w:pPr>
        <w:spacing w:line="240" w:lineRule="auto"/>
        <w:jc w:val="left"/>
        <w:rPr>
          <w:sz w:val="20"/>
          <w:szCs w:val="20"/>
          <w:u w:val="single"/>
        </w:rPr>
      </w:pPr>
      <w:r w:rsidRPr="00252E1E">
        <w:rPr>
          <w:sz w:val="20"/>
          <w:szCs w:val="20"/>
          <w:u w:val="single"/>
        </w:rPr>
        <w:t>Mobility configuration enhancement</w:t>
      </w:r>
    </w:p>
    <w:p w:rsidR="009D60FD" w:rsidRDefault="009636E5">
      <w:pPr>
        <w:jc w:val="left"/>
        <w:rPr>
          <w:b/>
          <w:bCs/>
          <w:sz w:val="20"/>
          <w:szCs w:val="20"/>
        </w:rPr>
      </w:pPr>
      <w:r>
        <w:rPr>
          <w:b/>
          <w:bCs/>
          <w:sz w:val="20"/>
          <w:szCs w:val="20"/>
        </w:rPr>
        <w:t xml:space="preserve">Proposal </w:t>
      </w:r>
      <w:r>
        <w:rPr>
          <w:rFonts w:hint="eastAsia"/>
          <w:b/>
          <w:bCs/>
          <w:sz w:val="20"/>
          <w:szCs w:val="20"/>
        </w:rPr>
        <w:t>3</w:t>
      </w:r>
      <w:r>
        <w:rPr>
          <w:b/>
          <w:bCs/>
          <w:sz w:val="20"/>
          <w:szCs w:val="20"/>
        </w:rPr>
        <w:t>: Typical HO configuration associated with index should be defined and pre-configured to UE. The index associated with one typical configuration with or without delta configuration are provided to UE in Handover Command.</w:t>
      </w:r>
    </w:p>
    <w:p w:rsidR="00FF37EF" w:rsidRPr="00FF37EF" w:rsidRDefault="00146508" w:rsidP="00FF37EF">
      <w:pPr>
        <w:spacing w:line="240" w:lineRule="auto"/>
        <w:jc w:val="left"/>
        <w:rPr>
          <w:sz w:val="20"/>
          <w:szCs w:val="20"/>
          <w:u w:val="single"/>
        </w:rPr>
      </w:pPr>
      <w:r>
        <w:rPr>
          <w:sz w:val="20"/>
          <w:szCs w:val="20"/>
          <w:u w:val="single"/>
        </w:rPr>
        <w:t>UE location report</w:t>
      </w:r>
    </w:p>
    <w:p w:rsidR="009D60FD" w:rsidRDefault="009636E5">
      <w:pPr>
        <w:rPr>
          <w:b/>
          <w:bCs/>
          <w:sz w:val="20"/>
          <w:szCs w:val="20"/>
        </w:rPr>
      </w:pPr>
      <w:r>
        <w:rPr>
          <w:rFonts w:hint="eastAsia"/>
          <w:b/>
          <w:bCs/>
          <w:sz w:val="20"/>
          <w:szCs w:val="20"/>
        </w:rPr>
        <w:t>Observation 1: UE location information, if available at network side, can be used as assistance information to help network apply the country-specific policies and decide an appropriate HO target in mobility handling.</w:t>
      </w:r>
    </w:p>
    <w:p w:rsidR="00212E8A" w:rsidRDefault="00212E8A" w:rsidP="00212E8A">
      <w:pPr>
        <w:rPr>
          <w:b/>
          <w:bCs/>
          <w:sz w:val="20"/>
          <w:szCs w:val="20"/>
        </w:rPr>
      </w:pPr>
      <w:r>
        <w:rPr>
          <w:rFonts w:hint="eastAsia"/>
          <w:b/>
          <w:bCs/>
          <w:sz w:val="20"/>
          <w:szCs w:val="20"/>
        </w:rPr>
        <w:t xml:space="preserve">Proposal 4a: An LS should be sent to SA2 to ask if some kind of authorization from the User is needed before collecting the </w:t>
      </w:r>
      <w:r>
        <w:rPr>
          <w:b/>
          <w:bCs/>
          <w:sz w:val="20"/>
          <w:szCs w:val="20"/>
        </w:rPr>
        <w:t xml:space="preserve">accurate UE </w:t>
      </w:r>
      <w:r>
        <w:rPr>
          <w:rFonts w:hint="eastAsia"/>
          <w:b/>
          <w:bCs/>
          <w:sz w:val="20"/>
          <w:szCs w:val="20"/>
        </w:rPr>
        <w:t xml:space="preserve">location information </w:t>
      </w:r>
      <w:r>
        <w:rPr>
          <w:b/>
          <w:bCs/>
          <w:sz w:val="20"/>
          <w:szCs w:val="20"/>
        </w:rPr>
        <w:t xml:space="preserve">acquired via GNSS </w:t>
      </w:r>
      <w:r>
        <w:rPr>
          <w:rFonts w:hint="eastAsia"/>
          <w:b/>
          <w:bCs/>
          <w:sz w:val="20"/>
          <w:szCs w:val="20"/>
        </w:rPr>
        <w:t>and report to network.</w:t>
      </w:r>
    </w:p>
    <w:p w:rsidR="009D60FD" w:rsidRDefault="009636E5">
      <w:pPr>
        <w:rPr>
          <w:b/>
          <w:bCs/>
          <w:sz w:val="20"/>
          <w:szCs w:val="20"/>
        </w:rPr>
      </w:pPr>
      <w:r>
        <w:rPr>
          <w:rFonts w:hint="eastAsia"/>
          <w:b/>
          <w:bCs/>
          <w:sz w:val="20"/>
          <w:szCs w:val="20"/>
        </w:rPr>
        <w:t>Proposal 4b: For UE without GNSS capability or UE with GNSS capability but not allowing acquisition of its own accurate location information, it should acquire neighboring TN cell information (e.g. PLMN identity, NCGI, TAI and so on) and report to the serving NTN cell.</w:t>
      </w:r>
    </w:p>
    <w:p w:rsidR="009D60FD" w:rsidRDefault="009636E5">
      <w:pPr>
        <w:jc w:val="left"/>
        <w:rPr>
          <w:sz w:val="20"/>
          <w:szCs w:val="20"/>
        </w:rPr>
      </w:pPr>
      <w:r>
        <w:rPr>
          <w:rFonts w:hint="eastAsia"/>
          <w:b/>
          <w:bCs/>
          <w:sz w:val="20"/>
          <w:szCs w:val="20"/>
        </w:rPr>
        <w:t xml:space="preserve">Proposal </w:t>
      </w:r>
      <w:r>
        <w:rPr>
          <w:rFonts w:eastAsia="宋体" w:hint="eastAsia"/>
          <w:b/>
          <w:bCs/>
          <w:sz w:val="20"/>
          <w:szCs w:val="20"/>
        </w:rPr>
        <w:t>4c</w:t>
      </w:r>
      <w:r>
        <w:rPr>
          <w:rFonts w:hint="eastAsia"/>
          <w:b/>
          <w:bCs/>
          <w:sz w:val="20"/>
          <w:szCs w:val="20"/>
        </w:rPr>
        <w:t>: For the case when the TA is earth fixed, a TAI list should be configured to UE as a reference area and UE will only report its location information or neighboring TN cell information when it moves out of this TAI list.</w:t>
      </w:r>
    </w:p>
    <w:p w:rsidR="009D60FD" w:rsidRDefault="009636E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9D60FD" w:rsidRDefault="009636E5">
      <w:pPr>
        <w:pStyle w:val="ListParagraph"/>
        <w:numPr>
          <w:ilvl w:val="0"/>
          <w:numId w:val="8"/>
        </w:numPr>
        <w:spacing w:line="260" w:lineRule="auto"/>
        <w:ind w:firstLineChars="0"/>
        <w:jc w:val="left"/>
        <w:rPr>
          <w:sz w:val="20"/>
          <w:szCs w:val="20"/>
        </w:rPr>
      </w:pPr>
      <w:r>
        <w:rPr>
          <w:rFonts w:hint="eastAsia"/>
          <w:sz w:val="20"/>
          <w:szCs w:val="20"/>
        </w:rPr>
        <w:t>TR 38.821 V16.0.0 Solutions for NR to support non-terrestrial networks (NTN)</w:t>
      </w:r>
    </w:p>
    <w:p w:rsidR="009D60FD" w:rsidRDefault="009D60FD">
      <w:pPr>
        <w:pStyle w:val="ListParagraph"/>
        <w:spacing w:line="260" w:lineRule="auto"/>
        <w:ind w:firstLineChars="0" w:firstLine="0"/>
        <w:jc w:val="left"/>
        <w:rPr>
          <w:sz w:val="20"/>
          <w:szCs w:val="20"/>
        </w:rPr>
      </w:pPr>
    </w:p>
    <w:sectPr w:rsidR="009D60FD">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9EA" w:rsidRDefault="00C349EA">
      <w:pPr>
        <w:spacing w:after="0" w:line="240" w:lineRule="auto"/>
      </w:pPr>
      <w:r>
        <w:separator/>
      </w:r>
    </w:p>
  </w:endnote>
  <w:endnote w:type="continuationSeparator" w:id="0">
    <w:p w:rsidR="00C349EA" w:rsidRDefault="00C34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0FD" w:rsidRDefault="009636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60FD" w:rsidRDefault="009D60F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0FD" w:rsidRDefault="009D60FD">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9EA" w:rsidRDefault="00C349EA">
      <w:pPr>
        <w:spacing w:after="0" w:line="240" w:lineRule="auto"/>
      </w:pPr>
      <w:r>
        <w:separator/>
      </w:r>
    </w:p>
  </w:footnote>
  <w:footnote w:type="continuationSeparator" w:id="0">
    <w:p w:rsidR="00C349EA" w:rsidRDefault="00C349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0FD" w:rsidRDefault="009D60F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C49A3AA"/>
    <w:multiLevelType w:val="singleLevel"/>
    <w:tmpl w:val="BC49A3AA"/>
    <w:lvl w:ilvl="0">
      <w:start w:val="1"/>
      <w:numFmt w:val="bullet"/>
      <w:lvlText w:val=""/>
      <w:lvlJc w:val="left"/>
      <w:pPr>
        <w:tabs>
          <w:tab w:val="left" w:pos="420"/>
        </w:tabs>
        <w:ind w:left="84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4381EF25"/>
    <w:multiLevelType w:val="singleLevel"/>
    <w:tmpl w:val="4381EF25"/>
    <w:lvl w:ilvl="0">
      <w:start w:val="1"/>
      <w:numFmt w:val="bullet"/>
      <w:lvlText w:val=""/>
      <w:lvlJc w:val="left"/>
      <w:pPr>
        <w:ind w:left="420" w:hanging="420"/>
      </w:pPr>
      <w:rPr>
        <w:rFonts w:ascii="Wingdings" w:hAnsi="Wingding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6EE7F7EC"/>
    <w:multiLevelType w:val="singleLevel"/>
    <w:tmpl w:val="6EE7F7EC"/>
    <w:lvl w:ilvl="0">
      <w:start w:val="1"/>
      <w:numFmt w:val="bullet"/>
      <w:lvlText w:val=""/>
      <w:lvlJc w:val="left"/>
      <w:pPr>
        <w:ind w:left="420" w:hanging="420"/>
      </w:pPr>
      <w:rPr>
        <w:rFonts w:ascii="Wingdings" w:hAnsi="Wingdings" w:hint="default"/>
      </w:rPr>
    </w:lvl>
  </w:abstractNum>
  <w:abstractNum w:abstractNumId="7">
    <w:nsid w:val="7FF65D3D"/>
    <w:multiLevelType w:val="multilevel"/>
    <w:tmpl w:val="7FF65D3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5"/>
  </w:num>
  <w:num w:numId="3">
    <w:abstractNumId w:val="2"/>
  </w:num>
  <w:num w:numId="4">
    <w:abstractNumId w:val="0"/>
  </w:num>
  <w:num w:numId="5">
    <w:abstractNumId w:val="7"/>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36B9"/>
    <w:rsid w:val="00035EF9"/>
    <w:rsid w:val="00037973"/>
    <w:rsid w:val="000407A7"/>
    <w:rsid w:val="00040A63"/>
    <w:rsid w:val="0004105F"/>
    <w:rsid w:val="00042E6F"/>
    <w:rsid w:val="00043923"/>
    <w:rsid w:val="00043FCA"/>
    <w:rsid w:val="00045EDE"/>
    <w:rsid w:val="00046E3D"/>
    <w:rsid w:val="000554CA"/>
    <w:rsid w:val="000563ED"/>
    <w:rsid w:val="000603D6"/>
    <w:rsid w:val="00062984"/>
    <w:rsid w:val="00065805"/>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3A52"/>
    <w:rsid w:val="000969D7"/>
    <w:rsid w:val="00097209"/>
    <w:rsid w:val="00097368"/>
    <w:rsid w:val="0009777E"/>
    <w:rsid w:val="00097E72"/>
    <w:rsid w:val="000A204F"/>
    <w:rsid w:val="000A22DF"/>
    <w:rsid w:val="000A2A28"/>
    <w:rsid w:val="000A2D0A"/>
    <w:rsid w:val="000A3136"/>
    <w:rsid w:val="000A3A4E"/>
    <w:rsid w:val="000A53F5"/>
    <w:rsid w:val="000A623E"/>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1C5E"/>
    <w:rsid w:val="000F4CFF"/>
    <w:rsid w:val="00100030"/>
    <w:rsid w:val="0010359D"/>
    <w:rsid w:val="00103DDB"/>
    <w:rsid w:val="00111C96"/>
    <w:rsid w:val="00111CE0"/>
    <w:rsid w:val="00111DF0"/>
    <w:rsid w:val="0011294B"/>
    <w:rsid w:val="001135C5"/>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6508"/>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384E"/>
    <w:rsid w:val="001A4015"/>
    <w:rsid w:val="001A6AFD"/>
    <w:rsid w:val="001B15D9"/>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774"/>
    <w:rsid w:val="00203B88"/>
    <w:rsid w:val="00205321"/>
    <w:rsid w:val="00206380"/>
    <w:rsid w:val="00212E8A"/>
    <w:rsid w:val="002155FA"/>
    <w:rsid w:val="002176DE"/>
    <w:rsid w:val="00220834"/>
    <w:rsid w:val="00223B64"/>
    <w:rsid w:val="0023029F"/>
    <w:rsid w:val="00231281"/>
    <w:rsid w:val="00231DC2"/>
    <w:rsid w:val="00232A02"/>
    <w:rsid w:val="002333B7"/>
    <w:rsid w:val="00233F71"/>
    <w:rsid w:val="002344F2"/>
    <w:rsid w:val="002368E4"/>
    <w:rsid w:val="00236F8F"/>
    <w:rsid w:val="00241832"/>
    <w:rsid w:val="00242E0D"/>
    <w:rsid w:val="00244D42"/>
    <w:rsid w:val="00245149"/>
    <w:rsid w:val="00246FFA"/>
    <w:rsid w:val="00247076"/>
    <w:rsid w:val="00252B94"/>
    <w:rsid w:val="00252E1E"/>
    <w:rsid w:val="00255E19"/>
    <w:rsid w:val="0025653A"/>
    <w:rsid w:val="00256C2E"/>
    <w:rsid w:val="00257233"/>
    <w:rsid w:val="00257421"/>
    <w:rsid w:val="0026066F"/>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54AD"/>
    <w:rsid w:val="002855D0"/>
    <w:rsid w:val="00290E18"/>
    <w:rsid w:val="00291D54"/>
    <w:rsid w:val="00293A6E"/>
    <w:rsid w:val="00296302"/>
    <w:rsid w:val="00297A8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2D4"/>
    <w:rsid w:val="003144CA"/>
    <w:rsid w:val="003171FD"/>
    <w:rsid w:val="00321077"/>
    <w:rsid w:val="00322390"/>
    <w:rsid w:val="00322EDB"/>
    <w:rsid w:val="003248F8"/>
    <w:rsid w:val="003268BB"/>
    <w:rsid w:val="00330072"/>
    <w:rsid w:val="00330B4E"/>
    <w:rsid w:val="0033176D"/>
    <w:rsid w:val="0033386B"/>
    <w:rsid w:val="00333D6C"/>
    <w:rsid w:val="003347C2"/>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77BA5"/>
    <w:rsid w:val="00381453"/>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1149"/>
    <w:rsid w:val="00401C3E"/>
    <w:rsid w:val="00402720"/>
    <w:rsid w:val="00402985"/>
    <w:rsid w:val="004060CF"/>
    <w:rsid w:val="00406593"/>
    <w:rsid w:val="004069B2"/>
    <w:rsid w:val="00410408"/>
    <w:rsid w:val="00413229"/>
    <w:rsid w:val="00413D6F"/>
    <w:rsid w:val="00415023"/>
    <w:rsid w:val="004228A3"/>
    <w:rsid w:val="004229AC"/>
    <w:rsid w:val="00423D3B"/>
    <w:rsid w:val="004245A3"/>
    <w:rsid w:val="00424A48"/>
    <w:rsid w:val="00425276"/>
    <w:rsid w:val="004274EC"/>
    <w:rsid w:val="00427917"/>
    <w:rsid w:val="00436238"/>
    <w:rsid w:val="0043672A"/>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3F2A"/>
    <w:rsid w:val="004C6366"/>
    <w:rsid w:val="004C63EE"/>
    <w:rsid w:val="004D0829"/>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860"/>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48D"/>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5573"/>
    <w:rsid w:val="005E7B04"/>
    <w:rsid w:val="005F05D7"/>
    <w:rsid w:val="005F05DE"/>
    <w:rsid w:val="005F097D"/>
    <w:rsid w:val="005F1004"/>
    <w:rsid w:val="005F1FAE"/>
    <w:rsid w:val="005F42AD"/>
    <w:rsid w:val="005F4E40"/>
    <w:rsid w:val="005F56A6"/>
    <w:rsid w:val="005F6041"/>
    <w:rsid w:val="005F7E99"/>
    <w:rsid w:val="00601081"/>
    <w:rsid w:val="006012C6"/>
    <w:rsid w:val="00603143"/>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B93"/>
    <w:rsid w:val="006C60A2"/>
    <w:rsid w:val="006C6193"/>
    <w:rsid w:val="006D0533"/>
    <w:rsid w:val="006D436D"/>
    <w:rsid w:val="006D5430"/>
    <w:rsid w:val="006D5F0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4A57"/>
    <w:rsid w:val="00776A65"/>
    <w:rsid w:val="00776AD0"/>
    <w:rsid w:val="00777EBF"/>
    <w:rsid w:val="00780871"/>
    <w:rsid w:val="00786DD7"/>
    <w:rsid w:val="0078794A"/>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1D26"/>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384"/>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455EB"/>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1B4"/>
    <w:rsid w:val="008719B2"/>
    <w:rsid w:val="008719DB"/>
    <w:rsid w:val="00872250"/>
    <w:rsid w:val="00873167"/>
    <w:rsid w:val="008731B8"/>
    <w:rsid w:val="00873D16"/>
    <w:rsid w:val="008768D2"/>
    <w:rsid w:val="00880F6C"/>
    <w:rsid w:val="00884D8D"/>
    <w:rsid w:val="008855E2"/>
    <w:rsid w:val="00885E69"/>
    <w:rsid w:val="00886047"/>
    <w:rsid w:val="00886521"/>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36E5"/>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0FD"/>
    <w:rsid w:val="009D6952"/>
    <w:rsid w:val="009D7F9A"/>
    <w:rsid w:val="009E068F"/>
    <w:rsid w:val="009E1B89"/>
    <w:rsid w:val="009E619C"/>
    <w:rsid w:val="009E7020"/>
    <w:rsid w:val="009E7045"/>
    <w:rsid w:val="009E748B"/>
    <w:rsid w:val="009F2244"/>
    <w:rsid w:val="009F3789"/>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230E"/>
    <w:rsid w:val="00A44BE1"/>
    <w:rsid w:val="00A4500D"/>
    <w:rsid w:val="00A504A8"/>
    <w:rsid w:val="00A529EC"/>
    <w:rsid w:val="00A53DD7"/>
    <w:rsid w:val="00A542B8"/>
    <w:rsid w:val="00A54719"/>
    <w:rsid w:val="00A55344"/>
    <w:rsid w:val="00A5709E"/>
    <w:rsid w:val="00A612B9"/>
    <w:rsid w:val="00A665FB"/>
    <w:rsid w:val="00A66B14"/>
    <w:rsid w:val="00A66CF8"/>
    <w:rsid w:val="00A71C52"/>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3FF7"/>
    <w:rsid w:val="00B142B2"/>
    <w:rsid w:val="00B15903"/>
    <w:rsid w:val="00B166C8"/>
    <w:rsid w:val="00B23604"/>
    <w:rsid w:val="00B23C72"/>
    <w:rsid w:val="00B243E6"/>
    <w:rsid w:val="00B2566A"/>
    <w:rsid w:val="00B2704A"/>
    <w:rsid w:val="00B36C02"/>
    <w:rsid w:val="00B41694"/>
    <w:rsid w:val="00B425D5"/>
    <w:rsid w:val="00B426BB"/>
    <w:rsid w:val="00B427B9"/>
    <w:rsid w:val="00B42907"/>
    <w:rsid w:val="00B43371"/>
    <w:rsid w:val="00B43661"/>
    <w:rsid w:val="00B4446B"/>
    <w:rsid w:val="00B44CA2"/>
    <w:rsid w:val="00B454AE"/>
    <w:rsid w:val="00B457C3"/>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40DC"/>
    <w:rsid w:val="00BA6A67"/>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2A96"/>
    <w:rsid w:val="00C23439"/>
    <w:rsid w:val="00C27213"/>
    <w:rsid w:val="00C278C2"/>
    <w:rsid w:val="00C32425"/>
    <w:rsid w:val="00C33DEA"/>
    <w:rsid w:val="00C340C6"/>
    <w:rsid w:val="00C349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264D"/>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08D8"/>
    <w:rsid w:val="00CD229F"/>
    <w:rsid w:val="00CD48D1"/>
    <w:rsid w:val="00CD4B35"/>
    <w:rsid w:val="00CE2D1F"/>
    <w:rsid w:val="00CE50A7"/>
    <w:rsid w:val="00CE52F0"/>
    <w:rsid w:val="00CF18A3"/>
    <w:rsid w:val="00CF356A"/>
    <w:rsid w:val="00CF4A61"/>
    <w:rsid w:val="00D0020D"/>
    <w:rsid w:val="00D029CB"/>
    <w:rsid w:val="00D04274"/>
    <w:rsid w:val="00D05A8B"/>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4CBC"/>
    <w:rsid w:val="00DF5370"/>
    <w:rsid w:val="00E0032E"/>
    <w:rsid w:val="00E01B71"/>
    <w:rsid w:val="00E0205D"/>
    <w:rsid w:val="00E03BE1"/>
    <w:rsid w:val="00E048C6"/>
    <w:rsid w:val="00E052F5"/>
    <w:rsid w:val="00E0737F"/>
    <w:rsid w:val="00E1018A"/>
    <w:rsid w:val="00E120F4"/>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28B"/>
    <w:rsid w:val="00EE5769"/>
    <w:rsid w:val="00EE5CA6"/>
    <w:rsid w:val="00EE6916"/>
    <w:rsid w:val="00EF1335"/>
    <w:rsid w:val="00EF1557"/>
    <w:rsid w:val="00EF4AE0"/>
    <w:rsid w:val="00EF4FE8"/>
    <w:rsid w:val="00EF6FA1"/>
    <w:rsid w:val="00F012FF"/>
    <w:rsid w:val="00F01A21"/>
    <w:rsid w:val="00F046E9"/>
    <w:rsid w:val="00F04831"/>
    <w:rsid w:val="00F12DA8"/>
    <w:rsid w:val="00F1313C"/>
    <w:rsid w:val="00F1322B"/>
    <w:rsid w:val="00F13699"/>
    <w:rsid w:val="00F16AB3"/>
    <w:rsid w:val="00F241E7"/>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3B37"/>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C7D38"/>
    <w:rsid w:val="00FD1379"/>
    <w:rsid w:val="00FD33A2"/>
    <w:rsid w:val="00FD6206"/>
    <w:rsid w:val="00FE09E7"/>
    <w:rsid w:val="00FE2161"/>
    <w:rsid w:val="00FE58B6"/>
    <w:rsid w:val="00FE7430"/>
    <w:rsid w:val="00FF0471"/>
    <w:rsid w:val="00FF0771"/>
    <w:rsid w:val="00FF0AAD"/>
    <w:rsid w:val="00FF29CE"/>
    <w:rsid w:val="00FF2E7C"/>
    <w:rsid w:val="00FF33F4"/>
    <w:rsid w:val="00FF37EF"/>
    <w:rsid w:val="00FF3FC8"/>
    <w:rsid w:val="00FF4742"/>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7132"/>
    <w:rsid w:val="01B354EB"/>
    <w:rsid w:val="01B409B2"/>
    <w:rsid w:val="01B61944"/>
    <w:rsid w:val="01D02B7A"/>
    <w:rsid w:val="01D857EB"/>
    <w:rsid w:val="01DF6FE0"/>
    <w:rsid w:val="01DF75FF"/>
    <w:rsid w:val="01E05D9F"/>
    <w:rsid w:val="01E4753D"/>
    <w:rsid w:val="01E6243E"/>
    <w:rsid w:val="01F6071A"/>
    <w:rsid w:val="02102D34"/>
    <w:rsid w:val="02105BCC"/>
    <w:rsid w:val="0213188C"/>
    <w:rsid w:val="02402B3C"/>
    <w:rsid w:val="02437D3E"/>
    <w:rsid w:val="024B45DB"/>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1A10DC"/>
    <w:rsid w:val="031A2D63"/>
    <w:rsid w:val="031C475D"/>
    <w:rsid w:val="031C4C74"/>
    <w:rsid w:val="0324429B"/>
    <w:rsid w:val="03287029"/>
    <w:rsid w:val="032C2B70"/>
    <w:rsid w:val="033D7BE5"/>
    <w:rsid w:val="033F5DF4"/>
    <w:rsid w:val="034058DA"/>
    <w:rsid w:val="036774A4"/>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222B1"/>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32741B"/>
    <w:rsid w:val="0536681D"/>
    <w:rsid w:val="053F77D8"/>
    <w:rsid w:val="054C7D1C"/>
    <w:rsid w:val="05837B30"/>
    <w:rsid w:val="05910818"/>
    <w:rsid w:val="05990991"/>
    <w:rsid w:val="05A022CF"/>
    <w:rsid w:val="05A146DE"/>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8F368D"/>
    <w:rsid w:val="069713C1"/>
    <w:rsid w:val="06A70981"/>
    <w:rsid w:val="06B07AFB"/>
    <w:rsid w:val="06B378FB"/>
    <w:rsid w:val="06B82D78"/>
    <w:rsid w:val="06B93D29"/>
    <w:rsid w:val="06BF1EE3"/>
    <w:rsid w:val="06C26744"/>
    <w:rsid w:val="06D37910"/>
    <w:rsid w:val="06D5029F"/>
    <w:rsid w:val="06D73D91"/>
    <w:rsid w:val="06DD64CC"/>
    <w:rsid w:val="06E53061"/>
    <w:rsid w:val="06E64C9F"/>
    <w:rsid w:val="06EC5C88"/>
    <w:rsid w:val="07045ECF"/>
    <w:rsid w:val="070C3BB7"/>
    <w:rsid w:val="07125F5D"/>
    <w:rsid w:val="07220AE1"/>
    <w:rsid w:val="07271B20"/>
    <w:rsid w:val="073A2A17"/>
    <w:rsid w:val="073F68CF"/>
    <w:rsid w:val="07586160"/>
    <w:rsid w:val="075D32E6"/>
    <w:rsid w:val="07775672"/>
    <w:rsid w:val="07847096"/>
    <w:rsid w:val="078C637B"/>
    <w:rsid w:val="079005D5"/>
    <w:rsid w:val="07931D88"/>
    <w:rsid w:val="07CE2E21"/>
    <w:rsid w:val="07D029D5"/>
    <w:rsid w:val="07D37F63"/>
    <w:rsid w:val="07D74616"/>
    <w:rsid w:val="07D74975"/>
    <w:rsid w:val="07DE52F0"/>
    <w:rsid w:val="07E53D87"/>
    <w:rsid w:val="07EF7EE5"/>
    <w:rsid w:val="08141163"/>
    <w:rsid w:val="08242518"/>
    <w:rsid w:val="082757ED"/>
    <w:rsid w:val="08290E07"/>
    <w:rsid w:val="082B536D"/>
    <w:rsid w:val="083A7B9E"/>
    <w:rsid w:val="084C76BB"/>
    <w:rsid w:val="08513832"/>
    <w:rsid w:val="085E2B02"/>
    <w:rsid w:val="08662E4E"/>
    <w:rsid w:val="087913CA"/>
    <w:rsid w:val="087A3407"/>
    <w:rsid w:val="0886083E"/>
    <w:rsid w:val="088B5031"/>
    <w:rsid w:val="088F268A"/>
    <w:rsid w:val="08A95408"/>
    <w:rsid w:val="08B151BF"/>
    <w:rsid w:val="08B22719"/>
    <w:rsid w:val="08B51BA5"/>
    <w:rsid w:val="08C85AD5"/>
    <w:rsid w:val="08D82186"/>
    <w:rsid w:val="08F979A1"/>
    <w:rsid w:val="091F1E33"/>
    <w:rsid w:val="0926712F"/>
    <w:rsid w:val="093F645D"/>
    <w:rsid w:val="094C2092"/>
    <w:rsid w:val="094F44E3"/>
    <w:rsid w:val="096275FE"/>
    <w:rsid w:val="09686427"/>
    <w:rsid w:val="09705132"/>
    <w:rsid w:val="097A01A0"/>
    <w:rsid w:val="09807390"/>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680BF3"/>
    <w:rsid w:val="0B704389"/>
    <w:rsid w:val="0B757FBB"/>
    <w:rsid w:val="0B7B7224"/>
    <w:rsid w:val="0B7E3E03"/>
    <w:rsid w:val="0B8B13F4"/>
    <w:rsid w:val="0B934CA5"/>
    <w:rsid w:val="0B94771A"/>
    <w:rsid w:val="0BA3062A"/>
    <w:rsid w:val="0BE004CF"/>
    <w:rsid w:val="0BE120C4"/>
    <w:rsid w:val="0BE57B4E"/>
    <w:rsid w:val="0BEB0B21"/>
    <w:rsid w:val="0BF83F28"/>
    <w:rsid w:val="0C0511F2"/>
    <w:rsid w:val="0C074871"/>
    <w:rsid w:val="0C084053"/>
    <w:rsid w:val="0C3255F2"/>
    <w:rsid w:val="0C355818"/>
    <w:rsid w:val="0C37777C"/>
    <w:rsid w:val="0C4057C9"/>
    <w:rsid w:val="0C59165E"/>
    <w:rsid w:val="0C635DBE"/>
    <w:rsid w:val="0C755CB5"/>
    <w:rsid w:val="0C7E353C"/>
    <w:rsid w:val="0C8B0E25"/>
    <w:rsid w:val="0CA33EBA"/>
    <w:rsid w:val="0CA95178"/>
    <w:rsid w:val="0CB04A70"/>
    <w:rsid w:val="0CB85851"/>
    <w:rsid w:val="0CC529AD"/>
    <w:rsid w:val="0CCC596D"/>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791AD7"/>
    <w:rsid w:val="0D7A3592"/>
    <w:rsid w:val="0D854A00"/>
    <w:rsid w:val="0D94360A"/>
    <w:rsid w:val="0DA74C71"/>
    <w:rsid w:val="0DB63E92"/>
    <w:rsid w:val="0DC0393B"/>
    <w:rsid w:val="0DC43254"/>
    <w:rsid w:val="0DC4433C"/>
    <w:rsid w:val="0DCD2C1C"/>
    <w:rsid w:val="0E063D40"/>
    <w:rsid w:val="0E0A21A9"/>
    <w:rsid w:val="0E113293"/>
    <w:rsid w:val="0E134E83"/>
    <w:rsid w:val="0E17220C"/>
    <w:rsid w:val="0E2C61C1"/>
    <w:rsid w:val="0E4F3F26"/>
    <w:rsid w:val="0E5E7524"/>
    <w:rsid w:val="0E734461"/>
    <w:rsid w:val="0E927861"/>
    <w:rsid w:val="0EA04D7B"/>
    <w:rsid w:val="0EA4482A"/>
    <w:rsid w:val="0EA926E0"/>
    <w:rsid w:val="0EC132D7"/>
    <w:rsid w:val="0EC572E7"/>
    <w:rsid w:val="0ECD33DF"/>
    <w:rsid w:val="0EDC3297"/>
    <w:rsid w:val="0EE22D51"/>
    <w:rsid w:val="0EE700B0"/>
    <w:rsid w:val="0F0E6CDB"/>
    <w:rsid w:val="0F4143CE"/>
    <w:rsid w:val="0F4340EF"/>
    <w:rsid w:val="0F570EB4"/>
    <w:rsid w:val="0F5908C8"/>
    <w:rsid w:val="0F59104A"/>
    <w:rsid w:val="0F5F1287"/>
    <w:rsid w:val="0F6639B9"/>
    <w:rsid w:val="0F685729"/>
    <w:rsid w:val="0F6A6BC7"/>
    <w:rsid w:val="0F70152C"/>
    <w:rsid w:val="0F771FDC"/>
    <w:rsid w:val="0F787C58"/>
    <w:rsid w:val="0F8228D1"/>
    <w:rsid w:val="0F8C02E9"/>
    <w:rsid w:val="0F8F7413"/>
    <w:rsid w:val="0FB27D04"/>
    <w:rsid w:val="0FB916A9"/>
    <w:rsid w:val="0FC30428"/>
    <w:rsid w:val="0FD531D3"/>
    <w:rsid w:val="0FDB1049"/>
    <w:rsid w:val="0FE322F6"/>
    <w:rsid w:val="0FEE6AC8"/>
    <w:rsid w:val="0FF8213F"/>
    <w:rsid w:val="0FFD676C"/>
    <w:rsid w:val="10120544"/>
    <w:rsid w:val="10122D07"/>
    <w:rsid w:val="10133D23"/>
    <w:rsid w:val="10134314"/>
    <w:rsid w:val="101F79B1"/>
    <w:rsid w:val="102C5093"/>
    <w:rsid w:val="102F5257"/>
    <w:rsid w:val="103E22B2"/>
    <w:rsid w:val="1064556A"/>
    <w:rsid w:val="106E070C"/>
    <w:rsid w:val="107B67FE"/>
    <w:rsid w:val="10836400"/>
    <w:rsid w:val="10910A6C"/>
    <w:rsid w:val="10937379"/>
    <w:rsid w:val="10A1788B"/>
    <w:rsid w:val="10B247B3"/>
    <w:rsid w:val="10BE79E8"/>
    <w:rsid w:val="10DE5F6D"/>
    <w:rsid w:val="10E75ECD"/>
    <w:rsid w:val="10F37635"/>
    <w:rsid w:val="10FC0194"/>
    <w:rsid w:val="10FE02D8"/>
    <w:rsid w:val="110F2DD6"/>
    <w:rsid w:val="111E737C"/>
    <w:rsid w:val="112070BC"/>
    <w:rsid w:val="11445096"/>
    <w:rsid w:val="114A0C38"/>
    <w:rsid w:val="114C7F4B"/>
    <w:rsid w:val="118B3F10"/>
    <w:rsid w:val="118D3FE6"/>
    <w:rsid w:val="11903C21"/>
    <w:rsid w:val="11947738"/>
    <w:rsid w:val="11A950AD"/>
    <w:rsid w:val="11B317D2"/>
    <w:rsid w:val="11B97A6E"/>
    <w:rsid w:val="11CC715A"/>
    <w:rsid w:val="11D344A6"/>
    <w:rsid w:val="11D84916"/>
    <w:rsid w:val="11E01EB5"/>
    <w:rsid w:val="11E854EB"/>
    <w:rsid w:val="11F0507D"/>
    <w:rsid w:val="11F66346"/>
    <w:rsid w:val="11FD0D0E"/>
    <w:rsid w:val="12015EA8"/>
    <w:rsid w:val="12112075"/>
    <w:rsid w:val="12124B37"/>
    <w:rsid w:val="12146A64"/>
    <w:rsid w:val="12147079"/>
    <w:rsid w:val="12166057"/>
    <w:rsid w:val="12403D21"/>
    <w:rsid w:val="125013C6"/>
    <w:rsid w:val="125822F1"/>
    <w:rsid w:val="125E2675"/>
    <w:rsid w:val="125E6811"/>
    <w:rsid w:val="127F5C15"/>
    <w:rsid w:val="128B57E5"/>
    <w:rsid w:val="128F6A2B"/>
    <w:rsid w:val="129402A3"/>
    <w:rsid w:val="1297086D"/>
    <w:rsid w:val="129B27C3"/>
    <w:rsid w:val="12A76780"/>
    <w:rsid w:val="12CB77F1"/>
    <w:rsid w:val="12DD13AC"/>
    <w:rsid w:val="12EB1F09"/>
    <w:rsid w:val="12F41B54"/>
    <w:rsid w:val="12FE0F0C"/>
    <w:rsid w:val="13060FB9"/>
    <w:rsid w:val="133D3FFD"/>
    <w:rsid w:val="134030C7"/>
    <w:rsid w:val="13482744"/>
    <w:rsid w:val="135106FE"/>
    <w:rsid w:val="1357550B"/>
    <w:rsid w:val="136B7240"/>
    <w:rsid w:val="136F32A6"/>
    <w:rsid w:val="1384435A"/>
    <w:rsid w:val="138C4655"/>
    <w:rsid w:val="1392132C"/>
    <w:rsid w:val="13933000"/>
    <w:rsid w:val="139C112D"/>
    <w:rsid w:val="13AD4C79"/>
    <w:rsid w:val="13AE6E32"/>
    <w:rsid w:val="13B61C41"/>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6122E"/>
    <w:rsid w:val="144A0D85"/>
    <w:rsid w:val="145A1D5A"/>
    <w:rsid w:val="145E3C4A"/>
    <w:rsid w:val="145E73FE"/>
    <w:rsid w:val="146C12BB"/>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84240"/>
    <w:rsid w:val="156F1C12"/>
    <w:rsid w:val="1580763A"/>
    <w:rsid w:val="1586427B"/>
    <w:rsid w:val="15967E8D"/>
    <w:rsid w:val="159A07D2"/>
    <w:rsid w:val="159C63AC"/>
    <w:rsid w:val="15B82FBA"/>
    <w:rsid w:val="15BC4B29"/>
    <w:rsid w:val="15BE1C46"/>
    <w:rsid w:val="15C06260"/>
    <w:rsid w:val="15CA0DC6"/>
    <w:rsid w:val="15DD4A1C"/>
    <w:rsid w:val="15E90584"/>
    <w:rsid w:val="160A0813"/>
    <w:rsid w:val="16263368"/>
    <w:rsid w:val="163E496F"/>
    <w:rsid w:val="164673D7"/>
    <w:rsid w:val="166260E3"/>
    <w:rsid w:val="166818A5"/>
    <w:rsid w:val="1680192E"/>
    <w:rsid w:val="168521B8"/>
    <w:rsid w:val="16A208E0"/>
    <w:rsid w:val="16A24B43"/>
    <w:rsid w:val="16A5270A"/>
    <w:rsid w:val="16B56C2D"/>
    <w:rsid w:val="16C938F5"/>
    <w:rsid w:val="16D61CD9"/>
    <w:rsid w:val="16D81ED4"/>
    <w:rsid w:val="16DB1E7A"/>
    <w:rsid w:val="16E22E42"/>
    <w:rsid w:val="16E74CBD"/>
    <w:rsid w:val="16F6268C"/>
    <w:rsid w:val="17053724"/>
    <w:rsid w:val="1707385D"/>
    <w:rsid w:val="170B79C5"/>
    <w:rsid w:val="171A54C8"/>
    <w:rsid w:val="171B6233"/>
    <w:rsid w:val="172B290E"/>
    <w:rsid w:val="172D692C"/>
    <w:rsid w:val="175B1D16"/>
    <w:rsid w:val="178B5FD7"/>
    <w:rsid w:val="178E5D23"/>
    <w:rsid w:val="1793303A"/>
    <w:rsid w:val="179C79A4"/>
    <w:rsid w:val="17B070BF"/>
    <w:rsid w:val="17BA14C6"/>
    <w:rsid w:val="17CA7093"/>
    <w:rsid w:val="17D52F7B"/>
    <w:rsid w:val="17DD7873"/>
    <w:rsid w:val="17EB75B0"/>
    <w:rsid w:val="17F5084F"/>
    <w:rsid w:val="180B1BB2"/>
    <w:rsid w:val="181578CA"/>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7141ED"/>
    <w:rsid w:val="1975293B"/>
    <w:rsid w:val="19872D5B"/>
    <w:rsid w:val="19921A93"/>
    <w:rsid w:val="19934AEB"/>
    <w:rsid w:val="19A05731"/>
    <w:rsid w:val="19AA7C9B"/>
    <w:rsid w:val="19BC030D"/>
    <w:rsid w:val="19E0148D"/>
    <w:rsid w:val="19E675DB"/>
    <w:rsid w:val="19E858AF"/>
    <w:rsid w:val="1A002A36"/>
    <w:rsid w:val="1A3454BE"/>
    <w:rsid w:val="1A37645B"/>
    <w:rsid w:val="1A3A78CA"/>
    <w:rsid w:val="1A523105"/>
    <w:rsid w:val="1A5562D2"/>
    <w:rsid w:val="1A605744"/>
    <w:rsid w:val="1A64411F"/>
    <w:rsid w:val="1A7857C1"/>
    <w:rsid w:val="1A9160AD"/>
    <w:rsid w:val="1AA91D4F"/>
    <w:rsid w:val="1AB14FC0"/>
    <w:rsid w:val="1AB77836"/>
    <w:rsid w:val="1AC94D1F"/>
    <w:rsid w:val="1ACE7057"/>
    <w:rsid w:val="1AD6153D"/>
    <w:rsid w:val="1AD62C9F"/>
    <w:rsid w:val="1ADA55B5"/>
    <w:rsid w:val="1ADC1643"/>
    <w:rsid w:val="1ADF0AC1"/>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5050D9"/>
    <w:rsid w:val="1C7C5F29"/>
    <w:rsid w:val="1C877EF5"/>
    <w:rsid w:val="1C891BAA"/>
    <w:rsid w:val="1C9155ED"/>
    <w:rsid w:val="1CA96E2B"/>
    <w:rsid w:val="1CC05CC7"/>
    <w:rsid w:val="1CC8042E"/>
    <w:rsid w:val="1CD375D9"/>
    <w:rsid w:val="1CD66AF0"/>
    <w:rsid w:val="1CD814C5"/>
    <w:rsid w:val="1CE122CF"/>
    <w:rsid w:val="1CE95578"/>
    <w:rsid w:val="1D0D49B3"/>
    <w:rsid w:val="1D1817C7"/>
    <w:rsid w:val="1D2F1D46"/>
    <w:rsid w:val="1D51270F"/>
    <w:rsid w:val="1D526265"/>
    <w:rsid w:val="1D74332F"/>
    <w:rsid w:val="1D8E073F"/>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76DC7"/>
    <w:rsid w:val="1EC85A19"/>
    <w:rsid w:val="1ECA0FDF"/>
    <w:rsid w:val="1ECE3988"/>
    <w:rsid w:val="1ECE3F18"/>
    <w:rsid w:val="1ED178C3"/>
    <w:rsid w:val="1ED92D03"/>
    <w:rsid w:val="1EDF3875"/>
    <w:rsid w:val="1EF0541B"/>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81AFC"/>
    <w:rsid w:val="1FE31889"/>
    <w:rsid w:val="1FE33901"/>
    <w:rsid w:val="1FE761B1"/>
    <w:rsid w:val="1FF92454"/>
    <w:rsid w:val="200F4543"/>
    <w:rsid w:val="202B3804"/>
    <w:rsid w:val="20321053"/>
    <w:rsid w:val="205D1CF3"/>
    <w:rsid w:val="20600899"/>
    <w:rsid w:val="2065713E"/>
    <w:rsid w:val="206D77FE"/>
    <w:rsid w:val="20734D1C"/>
    <w:rsid w:val="2075205C"/>
    <w:rsid w:val="20766B5D"/>
    <w:rsid w:val="207C5A77"/>
    <w:rsid w:val="20812A7A"/>
    <w:rsid w:val="20984E4E"/>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37460"/>
    <w:rsid w:val="2176492F"/>
    <w:rsid w:val="217F5FEA"/>
    <w:rsid w:val="21AA139D"/>
    <w:rsid w:val="21B56E0C"/>
    <w:rsid w:val="21C2768F"/>
    <w:rsid w:val="21D634F4"/>
    <w:rsid w:val="21D912D2"/>
    <w:rsid w:val="21E26D67"/>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28089D"/>
    <w:rsid w:val="233272DB"/>
    <w:rsid w:val="23491C4F"/>
    <w:rsid w:val="234E59AA"/>
    <w:rsid w:val="235C2ECF"/>
    <w:rsid w:val="23710ED9"/>
    <w:rsid w:val="2376738D"/>
    <w:rsid w:val="23891D0E"/>
    <w:rsid w:val="23925C55"/>
    <w:rsid w:val="23976015"/>
    <w:rsid w:val="23A236DD"/>
    <w:rsid w:val="23B21CC7"/>
    <w:rsid w:val="23BC1A29"/>
    <w:rsid w:val="23E863E8"/>
    <w:rsid w:val="23EF6864"/>
    <w:rsid w:val="24031943"/>
    <w:rsid w:val="240B1BA7"/>
    <w:rsid w:val="24151B62"/>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66118"/>
    <w:rsid w:val="250B6210"/>
    <w:rsid w:val="251F29B8"/>
    <w:rsid w:val="252D4876"/>
    <w:rsid w:val="25493BC7"/>
    <w:rsid w:val="254F48B6"/>
    <w:rsid w:val="2550468A"/>
    <w:rsid w:val="255A0011"/>
    <w:rsid w:val="25653A50"/>
    <w:rsid w:val="25781361"/>
    <w:rsid w:val="258A00D0"/>
    <w:rsid w:val="258D7703"/>
    <w:rsid w:val="258E1DCD"/>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A31E93"/>
    <w:rsid w:val="26A64E34"/>
    <w:rsid w:val="26B00275"/>
    <w:rsid w:val="26B64413"/>
    <w:rsid w:val="26C54B9B"/>
    <w:rsid w:val="26C6512F"/>
    <w:rsid w:val="26D901D4"/>
    <w:rsid w:val="26EE1854"/>
    <w:rsid w:val="26FF3DC8"/>
    <w:rsid w:val="2718290D"/>
    <w:rsid w:val="27183AD8"/>
    <w:rsid w:val="272F70EE"/>
    <w:rsid w:val="2756780D"/>
    <w:rsid w:val="275F248D"/>
    <w:rsid w:val="27713096"/>
    <w:rsid w:val="277C6089"/>
    <w:rsid w:val="278019FC"/>
    <w:rsid w:val="27897417"/>
    <w:rsid w:val="27913C45"/>
    <w:rsid w:val="27A449A7"/>
    <w:rsid w:val="27B24E9C"/>
    <w:rsid w:val="27BC433E"/>
    <w:rsid w:val="27CE139A"/>
    <w:rsid w:val="27E25E49"/>
    <w:rsid w:val="27E63AB6"/>
    <w:rsid w:val="27ED5A7F"/>
    <w:rsid w:val="27F231DD"/>
    <w:rsid w:val="282B4784"/>
    <w:rsid w:val="283C5A70"/>
    <w:rsid w:val="2845270C"/>
    <w:rsid w:val="284A470E"/>
    <w:rsid w:val="285A7B8F"/>
    <w:rsid w:val="285C6B52"/>
    <w:rsid w:val="286310DC"/>
    <w:rsid w:val="28786605"/>
    <w:rsid w:val="287B731C"/>
    <w:rsid w:val="2887164E"/>
    <w:rsid w:val="28892426"/>
    <w:rsid w:val="288B2E18"/>
    <w:rsid w:val="28A12EB0"/>
    <w:rsid w:val="28A75DD4"/>
    <w:rsid w:val="28A843B1"/>
    <w:rsid w:val="28DF2C40"/>
    <w:rsid w:val="28E44291"/>
    <w:rsid w:val="28E77369"/>
    <w:rsid w:val="28E9631F"/>
    <w:rsid w:val="28EB1022"/>
    <w:rsid w:val="29065633"/>
    <w:rsid w:val="290F2C4A"/>
    <w:rsid w:val="292722E1"/>
    <w:rsid w:val="29326B8F"/>
    <w:rsid w:val="29444E83"/>
    <w:rsid w:val="294566C3"/>
    <w:rsid w:val="2954302F"/>
    <w:rsid w:val="2956122D"/>
    <w:rsid w:val="29631E2D"/>
    <w:rsid w:val="297929F3"/>
    <w:rsid w:val="298D0F22"/>
    <w:rsid w:val="29AC7F64"/>
    <w:rsid w:val="29B025A4"/>
    <w:rsid w:val="29B25CE9"/>
    <w:rsid w:val="29B5714B"/>
    <w:rsid w:val="29B82AFC"/>
    <w:rsid w:val="29CD5CFE"/>
    <w:rsid w:val="29DC6F28"/>
    <w:rsid w:val="29F101FE"/>
    <w:rsid w:val="29F83E3A"/>
    <w:rsid w:val="29FC0A34"/>
    <w:rsid w:val="2A065B82"/>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A4EB9"/>
    <w:rsid w:val="2AEC22C7"/>
    <w:rsid w:val="2B0738F0"/>
    <w:rsid w:val="2B0E0F65"/>
    <w:rsid w:val="2B2C1264"/>
    <w:rsid w:val="2B374C7F"/>
    <w:rsid w:val="2B3C0BBD"/>
    <w:rsid w:val="2B3F420A"/>
    <w:rsid w:val="2B4A3494"/>
    <w:rsid w:val="2B510311"/>
    <w:rsid w:val="2B5716A9"/>
    <w:rsid w:val="2B593E95"/>
    <w:rsid w:val="2B5A4189"/>
    <w:rsid w:val="2B5B13E0"/>
    <w:rsid w:val="2B5D3ED4"/>
    <w:rsid w:val="2B7831EA"/>
    <w:rsid w:val="2B7D13CC"/>
    <w:rsid w:val="2B8876B4"/>
    <w:rsid w:val="2BA13AB1"/>
    <w:rsid w:val="2BD94617"/>
    <w:rsid w:val="2BDD4799"/>
    <w:rsid w:val="2C2D1BEC"/>
    <w:rsid w:val="2C2E702D"/>
    <w:rsid w:val="2C327E70"/>
    <w:rsid w:val="2C396882"/>
    <w:rsid w:val="2C3B789F"/>
    <w:rsid w:val="2C467CD2"/>
    <w:rsid w:val="2C4A64EC"/>
    <w:rsid w:val="2C4C4186"/>
    <w:rsid w:val="2C4C5BF6"/>
    <w:rsid w:val="2C802F84"/>
    <w:rsid w:val="2C8045D1"/>
    <w:rsid w:val="2CB771ED"/>
    <w:rsid w:val="2CC130AA"/>
    <w:rsid w:val="2CC736A5"/>
    <w:rsid w:val="2CCE25F9"/>
    <w:rsid w:val="2CE04532"/>
    <w:rsid w:val="2CEB42D0"/>
    <w:rsid w:val="2D0A6D50"/>
    <w:rsid w:val="2D0A7297"/>
    <w:rsid w:val="2D1350E2"/>
    <w:rsid w:val="2D15427B"/>
    <w:rsid w:val="2D3C07C8"/>
    <w:rsid w:val="2D416047"/>
    <w:rsid w:val="2D4D0E6D"/>
    <w:rsid w:val="2D7B6FF9"/>
    <w:rsid w:val="2D9C0291"/>
    <w:rsid w:val="2DAC1EAF"/>
    <w:rsid w:val="2DBC78D6"/>
    <w:rsid w:val="2DC337EC"/>
    <w:rsid w:val="2DD229E6"/>
    <w:rsid w:val="2DD73448"/>
    <w:rsid w:val="2DE70634"/>
    <w:rsid w:val="2E05745B"/>
    <w:rsid w:val="2E1B2ADA"/>
    <w:rsid w:val="2E1E09A5"/>
    <w:rsid w:val="2E225A24"/>
    <w:rsid w:val="2E2561B5"/>
    <w:rsid w:val="2E2A0325"/>
    <w:rsid w:val="2E332CEB"/>
    <w:rsid w:val="2E50399B"/>
    <w:rsid w:val="2E6E03B6"/>
    <w:rsid w:val="2E6E553E"/>
    <w:rsid w:val="2E743739"/>
    <w:rsid w:val="2E794D46"/>
    <w:rsid w:val="2E9D0DDC"/>
    <w:rsid w:val="2EAD6133"/>
    <w:rsid w:val="2EB259EE"/>
    <w:rsid w:val="2EB44951"/>
    <w:rsid w:val="2EB96892"/>
    <w:rsid w:val="2EBA175B"/>
    <w:rsid w:val="2EBC0D00"/>
    <w:rsid w:val="2EC34D96"/>
    <w:rsid w:val="2ED237F3"/>
    <w:rsid w:val="2EF5368C"/>
    <w:rsid w:val="2EFD5F76"/>
    <w:rsid w:val="2EFE23E9"/>
    <w:rsid w:val="2F0C4C2A"/>
    <w:rsid w:val="2F0F563F"/>
    <w:rsid w:val="2F144960"/>
    <w:rsid w:val="2F170C0F"/>
    <w:rsid w:val="2F1F3A4D"/>
    <w:rsid w:val="2F2B0AB4"/>
    <w:rsid w:val="2F2B4668"/>
    <w:rsid w:val="2F4558F1"/>
    <w:rsid w:val="2F784790"/>
    <w:rsid w:val="2F7B36A8"/>
    <w:rsid w:val="2F826205"/>
    <w:rsid w:val="2F8E4DCB"/>
    <w:rsid w:val="2F8F7CEB"/>
    <w:rsid w:val="2F9155B2"/>
    <w:rsid w:val="2F9B7763"/>
    <w:rsid w:val="2F9D7E04"/>
    <w:rsid w:val="2FA11D30"/>
    <w:rsid w:val="2FAA5E1A"/>
    <w:rsid w:val="2FAB4623"/>
    <w:rsid w:val="2FB831CB"/>
    <w:rsid w:val="2FC46E3A"/>
    <w:rsid w:val="2FC57F08"/>
    <w:rsid w:val="2FC61141"/>
    <w:rsid w:val="2FD32A7A"/>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75B6"/>
    <w:rsid w:val="30C4178A"/>
    <w:rsid w:val="30E46B3F"/>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50898"/>
    <w:rsid w:val="31B62FDB"/>
    <w:rsid w:val="31BA2482"/>
    <w:rsid w:val="31BB7B95"/>
    <w:rsid w:val="31BE47CA"/>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A3567"/>
    <w:rsid w:val="332610BF"/>
    <w:rsid w:val="332C7F44"/>
    <w:rsid w:val="334172D7"/>
    <w:rsid w:val="335D1100"/>
    <w:rsid w:val="33632FAB"/>
    <w:rsid w:val="33777FA7"/>
    <w:rsid w:val="337C27BA"/>
    <w:rsid w:val="33841F4B"/>
    <w:rsid w:val="3386250E"/>
    <w:rsid w:val="33AE1F3D"/>
    <w:rsid w:val="33B44D6A"/>
    <w:rsid w:val="33C40914"/>
    <w:rsid w:val="33E201D4"/>
    <w:rsid w:val="33E75242"/>
    <w:rsid w:val="33F20139"/>
    <w:rsid w:val="33F90BAA"/>
    <w:rsid w:val="341101EA"/>
    <w:rsid w:val="341E68F1"/>
    <w:rsid w:val="342105B8"/>
    <w:rsid w:val="34217FBA"/>
    <w:rsid w:val="3439248A"/>
    <w:rsid w:val="344A237C"/>
    <w:rsid w:val="346C064E"/>
    <w:rsid w:val="346C77B6"/>
    <w:rsid w:val="34717DC6"/>
    <w:rsid w:val="347B7090"/>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61E52A0"/>
    <w:rsid w:val="36240D34"/>
    <w:rsid w:val="36366AFB"/>
    <w:rsid w:val="36487758"/>
    <w:rsid w:val="364936C7"/>
    <w:rsid w:val="36545189"/>
    <w:rsid w:val="3654745F"/>
    <w:rsid w:val="36582751"/>
    <w:rsid w:val="365A0664"/>
    <w:rsid w:val="365F3D9A"/>
    <w:rsid w:val="36645310"/>
    <w:rsid w:val="366751F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87369"/>
    <w:rsid w:val="36DE1FDF"/>
    <w:rsid w:val="36E30124"/>
    <w:rsid w:val="36EA0866"/>
    <w:rsid w:val="36F7193B"/>
    <w:rsid w:val="37006DA6"/>
    <w:rsid w:val="37022024"/>
    <w:rsid w:val="3722586F"/>
    <w:rsid w:val="372375CE"/>
    <w:rsid w:val="37252757"/>
    <w:rsid w:val="37335775"/>
    <w:rsid w:val="37362012"/>
    <w:rsid w:val="37372456"/>
    <w:rsid w:val="37391007"/>
    <w:rsid w:val="37404B13"/>
    <w:rsid w:val="374F724C"/>
    <w:rsid w:val="37791406"/>
    <w:rsid w:val="378C59A0"/>
    <w:rsid w:val="379A65A9"/>
    <w:rsid w:val="37A15AB9"/>
    <w:rsid w:val="37D1690E"/>
    <w:rsid w:val="37E474EC"/>
    <w:rsid w:val="37E7496A"/>
    <w:rsid w:val="37E9153A"/>
    <w:rsid w:val="37E93735"/>
    <w:rsid w:val="37F47C83"/>
    <w:rsid w:val="37FC4441"/>
    <w:rsid w:val="381E6D24"/>
    <w:rsid w:val="381E7251"/>
    <w:rsid w:val="382A53D5"/>
    <w:rsid w:val="383652ED"/>
    <w:rsid w:val="38385E3C"/>
    <w:rsid w:val="385701A2"/>
    <w:rsid w:val="386844B4"/>
    <w:rsid w:val="386900A2"/>
    <w:rsid w:val="387361E3"/>
    <w:rsid w:val="38AC792F"/>
    <w:rsid w:val="38B26B0B"/>
    <w:rsid w:val="38BA270B"/>
    <w:rsid w:val="38BB1341"/>
    <w:rsid w:val="38C44B1C"/>
    <w:rsid w:val="38F21F29"/>
    <w:rsid w:val="3909782E"/>
    <w:rsid w:val="391B3E02"/>
    <w:rsid w:val="392642AC"/>
    <w:rsid w:val="39294974"/>
    <w:rsid w:val="393658EA"/>
    <w:rsid w:val="39452765"/>
    <w:rsid w:val="394579D4"/>
    <w:rsid w:val="39464B68"/>
    <w:rsid w:val="3949779B"/>
    <w:rsid w:val="397059EB"/>
    <w:rsid w:val="398028B7"/>
    <w:rsid w:val="398652E8"/>
    <w:rsid w:val="39932E80"/>
    <w:rsid w:val="399C790E"/>
    <w:rsid w:val="39AD0862"/>
    <w:rsid w:val="39C429F4"/>
    <w:rsid w:val="39D74597"/>
    <w:rsid w:val="39F8007C"/>
    <w:rsid w:val="39FD1410"/>
    <w:rsid w:val="3A074B96"/>
    <w:rsid w:val="3A077BDC"/>
    <w:rsid w:val="3A0D4B49"/>
    <w:rsid w:val="3A19437E"/>
    <w:rsid w:val="3A29061F"/>
    <w:rsid w:val="3A3A0854"/>
    <w:rsid w:val="3A4A6214"/>
    <w:rsid w:val="3A4E4899"/>
    <w:rsid w:val="3A612DA4"/>
    <w:rsid w:val="3A6A57DE"/>
    <w:rsid w:val="3A707D13"/>
    <w:rsid w:val="3A80410F"/>
    <w:rsid w:val="3A8A0AE3"/>
    <w:rsid w:val="3A8F0F59"/>
    <w:rsid w:val="3A9979BE"/>
    <w:rsid w:val="3A9E1B70"/>
    <w:rsid w:val="3AA12E4E"/>
    <w:rsid w:val="3AD71F6B"/>
    <w:rsid w:val="3AE66876"/>
    <w:rsid w:val="3AF53639"/>
    <w:rsid w:val="3B036D81"/>
    <w:rsid w:val="3B1738F9"/>
    <w:rsid w:val="3B1D50E8"/>
    <w:rsid w:val="3B2862CD"/>
    <w:rsid w:val="3B3614CA"/>
    <w:rsid w:val="3B43612D"/>
    <w:rsid w:val="3B465AAD"/>
    <w:rsid w:val="3B633B39"/>
    <w:rsid w:val="3B6C183F"/>
    <w:rsid w:val="3B716826"/>
    <w:rsid w:val="3B7840CA"/>
    <w:rsid w:val="3B82605A"/>
    <w:rsid w:val="3B8643FB"/>
    <w:rsid w:val="3B8C3C14"/>
    <w:rsid w:val="3B9C0635"/>
    <w:rsid w:val="3BA87780"/>
    <w:rsid w:val="3BB43E16"/>
    <w:rsid w:val="3BC4115E"/>
    <w:rsid w:val="3BC62916"/>
    <w:rsid w:val="3BC7487E"/>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24F4C"/>
    <w:rsid w:val="3C2D6092"/>
    <w:rsid w:val="3C350589"/>
    <w:rsid w:val="3C456A68"/>
    <w:rsid w:val="3C4F16C1"/>
    <w:rsid w:val="3C5D7DF9"/>
    <w:rsid w:val="3C5F3AB6"/>
    <w:rsid w:val="3C7E0AFD"/>
    <w:rsid w:val="3C8310DE"/>
    <w:rsid w:val="3C8B14D1"/>
    <w:rsid w:val="3C9A2A62"/>
    <w:rsid w:val="3CA849CB"/>
    <w:rsid w:val="3CD14649"/>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A29D6"/>
    <w:rsid w:val="3D807A26"/>
    <w:rsid w:val="3D842996"/>
    <w:rsid w:val="3D8572F3"/>
    <w:rsid w:val="3D870953"/>
    <w:rsid w:val="3D8B2D9A"/>
    <w:rsid w:val="3D98336D"/>
    <w:rsid w:val="3DA9227E"/>
    <w:rsid w:val="3DAF74FA"/>
    <w:rsid w:val="3DB000E2"/>
    <w:rsid w:val="3DB302F2"/>
    <w:rsid w:val="3DCB24A6"/>
    <w:rsid w:val="3DDD29A0"/>
    <w:rsid w:val="3DE15919"/>
    <w:rsid w:val="3DE976C2"/>
    <w:rsid w:val="3DF95EC3"/>
    <w:rsid w:val="3DFE5953"/>
    <w:rsid w:val="3E087DD4"/>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CB76CD"/>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CD0087"/>
    <w:rsid w:val="3FCF2F1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1055B22"/>
    <w:rsid w:val="41454EA2"/>
    <w:rsid w:val="415347E5"/>
    <w:rsid w:val="41693913"/>
    <w:rsid w:val="41783809"/>
    <w:rsid w:val="418B104E"/>
    <w:rsid w:val="41AA5A16"/>
    <w:rsid w:val="41AA6FCA"/>
    <w:rsid w:val="41B124F1"/>
    <w:rsid w:val="41B15ADB"/>
    <w:rsid w:val="41B77440"/>
    <w:rsid w:val="41C52353"/>
    <w:rsid w:val="41CC3927"/>
    <w:rsid w:val="41D00D55"/>
    <w:rsid w:val="41DE2229"/>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2EA0325"/>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A622B"/>
    <w:rsid w:val="443950F3"/>
    <w:rsid w:val="443A0BF2"/>
    <w:rsid w:val="4452245F"/>
    <w:rsid w:val="445E0466"/>
    <w:rsid w:val="447A4BFE"/>
    <w:rsid w:val="448F6395"/>
    <w:rsid w:val="449342E9"/>
    <w:rsid w:val="44B67F44"/>
    <w:rsid w:val="44BB68BF"/>
    <w:rsid w:val="44C70D28"/>
    <w:rsid w:val="44CA6E76"/>
    <w:rsid w:val="44EE6174"/>
    <w:rsid w:val="44EF245C"/>
    <w:rsid w:val="44F6488D"/>
    <w:rsid w:val="44FC2960"/>
    <w:rsid w:val="45026AC6"/>
    <w:rsid w:val="45044A12"/>
    <w:rsid w:val="45282A9A"/>
    <w:rsid w:val="452B6A1A"/>
    <w:rsid w:val="45334A20"/>
    <w:rsid w:val="453C14B9"/>
    <w:rsid w:val="45481632"/>
    <w:rsid w:val="454C1D98"/>
    <w:rsid w:val="455238CA"/>
    <w:rsid w:val="455D06B9"/>
    <w:rsid w:val="45820060"/>
    <w:rsid w:val="4583207C"/>
    <w:rsid w:val="4589448D"/>
    <w:rsid w:val="45C14DD5"/>
    <w:rsid w:val="45DF4749"/>
    <w:rsid w:val="45E86370"/>
    <w:rsid w:val="45EE35A4"/>
    <w:rsid w:val="45F56503"/>
    <w:rsid w:val="45FC5A69"/>
    <w:rsid w:val="460556A8"/>
    <w:rsid w:val="46125B36"/>
    <w:rsid w:val="461E4FA6"/>
    <w:rsid w:val="461F5C6B"/>
    <w:rsid w:val="46283AA1"/>
    <w:rsid w:val="463A5899"/>
    <w:rsid w:val="464F0483"/>
    <w:rsid w:val="46524CAD"/>
    <w:rsid w:val="4654512D"/>
    <w:rsid w:val="465B3C93"/>
    <w:rsid w:val="46606872"/>
    <w:rsid w:val="46610707"/>
    <w:rsid w:val="46637EA6"/>
    <w:rsid w:val="466B2CC7"/>
    <w:rsid w:val="466C195C"/>
    <w:rsid w:val="46750952"/>
    <w:rsid w:val="46A73AA5"/>
    <w:rsid w:val="46BC2C14"/>
    <w:rsid w:val="46C37319"/>
    <w:rsid w:val="46CE7B8B"/>
    <w:rsid w:val="46D32B82"/>
    <w:rsid w:val="46F4701B"/>
    <w:rsid w:val="47096637"/>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B75BF9"/>
    <w:rsid w:val="47D829B5"/>
    <w:rsid w:val="47E44CFB"/>
    <w:rsid w:val="47E52D99"/>
    <w:rsid w:val="47ED37DA"/>
    <w:rsid w:val="47F31436"/>
    <w:rsid w:val="48083C5D"/>
    <w:rsid w:val="480D3F14"/>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C5597C"/>
    <w:rsid w:val="48F542D2"/>
    <w:rsid w:val="48FA1915"/>
    <w:rsid w:val="48FD06CC"/>
    <w:rsid w:val="490172CD"/>
    <w:rsid w:val="49057839"/>
    <w:rsid w:val="492116B6"/>
    <w:rsid w:val="49215BD1"/>
    <w:rsid w:val="49241DDF"/>
    <w:rsid w:val="492918E1"/>
    <w:rsid w:val="492C6396"/>
    <w:rsid w:val="49374150"/>
    <w:rsid w:val="493B63FB"/>
    <w:rsid w:val="49414773"/>
    <w:rsid w:val="494C4AA8"/>
    <w:rsid w:val="495F2293"/>
    <w:rsid w:val="49680B13"/>
    <w:rsid w:val="496A2FB3"/>
    <w:rsid w:val="497C504D"/>
    <w:rsid w:val="497D38F8"/>
    <w:rsid w:val="498D2E01"/>
    <w:rsid w:val="498D3DBD"/>
    <w:rsid w:val="49D815D6"/>
    <w:rsid w:val="49D816F4"/>
    <w:rsid w:val="49E52DCB"/>
    <w:rsid w:val="49EB1CD3"/>
    <w:rsid w:val="49FD72F4"/>
    <w:rsid w:val="49FF7393"/>
    <w:rsid w:val="4A093431"/>
    <w:rsid w:val="4A247675"/>
    <w:rsid w:val="4A38213A"/>
    <w:rsid w:val="4A400586"/>
    <w:rsid w:val="4A5B01F1"/>
    <w:rsid w:val="4A742551"/>
    <w:rsid w:val="4A762AB8"/>
    <w:rsid w:val="4A7A7FC5"/>
    <w:rsid w:val="4A7B711D"/>
    <w:rsid w:val="4A84675D"/>
    <w:rsid w:val="4A873B74"/>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B6126F"/>
    <w:rsid w:val="4BB7755B"/>
    <w:rsid w:val="4BD758EF"/>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11094"/>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858BC"/>
    <w:rsid w:val="4E192FF3"/>
    <w:rsid w:val="4E1B2CF6"/>
    <w:rsid w:val="4E214745"/>
    <w:rsid w:val="4E38025C"/>
    <w:rsid w:val="4E5737A4"/>
    <w:rsid w:val="4E6B1C67"/>
    <w:rsid w:val="4E7F5FA8"/>
    <w:rsid w:val="4E876A80"/>
    <w:rsid w:val="4E881A6F"/>
    <w:rsid w:val="4E900192"/>
    <w:rsid w:val="4EB46112"/>
    <w:rsid w:val="4EBA6B3A"/>
    <w:rsid w:val="4ECC4E51"/>
    <w:rsid w:val="4ED20DC7"/>
    <w:rsid w:val="4EE07BE9"/>
    <w:rsid w:val="4EEB259A"/>
    <w:rsid w:val="4EED19A4"/>
    <w:rsid w:val="4EF4193D"/>
    <w:rsid w:val="4EF6402D"/>
    <w:rsid w:val="4F05572E"/>
    <w:rsid w:val="4F153A2F"/>
    <w:rsid w:val="4F430F16"/>
    <w:rsid w:val="4F4A1B00"/>
    <w:rsid w:val="4F6F7BAE"/>
    <w:rsid w:val="4F7C48EA"/>
    <w:rsid w:val="4F9A4993"/>
    <w:rsid w:val="4FA56BCD"/>
    <w:rsid w:val="4FA83E2A"/>
    <w:rsid w:val="4FA844A2"/>
    <w:rsid w:val="4FBF1357"/>
    <w:rsid w:val="4FC42854"/>
    <w:rsid w:val="4FC621F2"/>
    <w:rsid w:val="4FDE7818"/>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AE55F9"/>
    <w:rsid w:val="50D0779D"/>
    <w:rsid w:val="50EC293E"/>
    <w:rsid w:val="50FD0E66"/>
    <w:rsid w:val="510B565B"/>
    <w:rsid w:val="51120212"/>
    <w:rsid w:val="51144DFE"/>
    <w:rsid w:val="511869DC"/>
    <w:rsid w:val="512D39B1"/>
    <w:rsid w:val="512E1A85"/>
    <w:rsid w:val="513D3E59"/>
    <w:rsid w:val="514E06C0"/>
    <w:rsid w:val="515446E1"/>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F7059"/>
    <w:rsid w:val="527427EF"/>
    <w:rsid w:val="528D1690"/>
    <w:rsid w:val="528D53DC"/>
    <w:rsid w:val="52A54636"/>
    <w:rsid w:val="52B81257"/>
    <w:rsid w:val="52BD2046"/>
    <w:rsid w:val="52D108EE"/>
    <w:rsid w:val="52D20B31"/>
    <w:rsid w:val="52FB0A80"/>
    <w:rsid w:val="52FF5142"/>
    <w:rsid w:val="53083AA3"/>
    <w:rsid w:val="532F5A3F"/>
    <w:rsid w:val="5346574A"/>
    <w:rsid w:val="536871EA"/>
    <w:rsid w:val="536A6F68"/>
    <w:rsid w:val="53A76CC1"/>
    <w:rsid w:val="53A84A9F"/>
    <w:rsid w:val="53BC7516"/>
    <w:rsid w:val="53C31DF3"/>
    <w:rsid w:val="53D94927"/>
    <w:rsid w:val="53E0582A"/>
    <w:rsid w:val="53EB0CCB"/>
    <w:rsid w:val="53F448C8"/>
    <w:rsid w:val="53F45339"/>
    <w:rsid w:val="53F823CE"/>
    <w:rsid w:val="53FA111D"/>
    <w:rsid w:val="544D71A6"/>
    <w:rsid w:val="5457477E"/>
    <w:rsid w:val="545A5363"/>
    <w:rsid w:val="54680A46"/>
    <w:rsid w:val="54752F6E"/>
    <w:rsid w:val="54814751"/>
    <w:rsid w:val="548F58A2"/>
    <w:rsid w:val="54965564"/>
    <w:rsid w:val="5499064F"/>
    <w:rsid w:val="549C3CF7"/>
    <w:rsid w:val="54A6767D"/>
    <w:rsid w:val="54AC5454"/>
    <w:rsid w:val="54B7133C"/>
    <w:rsid w:val="54C1659F"/>
    <w:rsid w:val="54C307B4"/>
    <w:rsid w:val="54C46176"/>
    <w:rsid w:val="54C70C29"/>
    <w:rsid w:val="54CC7DCA"/>
    <w:rsid w:val="54F104F1"/>
    <w:rsid w:val="54F6543C"/>
    <w:rsid w:val="54F94026"/>
    <w:rsid w:val="550A4C45"/>
    <w:rsid w:val="55130EA3"/>
    <w:rsid w:val="55201F7D"/>
    <w:rsid w:val="55243511"/>
    <w:rsid w:val="5532224D"/>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589"/>
    <w:rsid w:val="559D62B8"/>
    <w:rsid w:val="55A9628B"/>
    <w:rsid w:val="55AE4018"/>
    <w:rsid w:val="55C94CAE"/>
    <w:rsid w:val="55DE0AA4"/>
    <w:rsid w:val="55DF3097"/>
    <w:rsid w:val="55EA4151"/>
    <w:rsid w:val="55F261D1"/>
    <w:rsid w:val="55F82D46"/>
    <w:rsid w:val="55FC62A2"/>
    <w:rsid w:val="55FE05F9"/>
    <w:rsid w:val="560C6075"/>
    <w:rsid w:val="561153A0"/>
    <w:rsid w:val="56162164"/>
    <w:rsid w:val="56362315"/>
    <w:rsid w:val="564546A3"/>
    <w:rsid w:val="5658660E"/>
    <w:rsid w:val="566B701E"/>
    <w:rsid w:val="568A7FA4"/>
    <w:rsid w:val="56952F1F"/>
    <w:rsid w:val="56B340F6"/>
    <w:rsid w:val="56CA6C7D"/>
    <w:rsid w:val="56CC2E7C"/>
    <w:rsid w:val="56CC7516"/>
    <w:rsid w:val="56D3702B"/>
    <w:rsid w:val="56E13AAA"/>
    <w:rsid w:val="56E95C47"/>
    <w:rsid w:val="56F04979"/>
    <w:rsid w:val="56F95DFD"/>
    <w:rsid w:val="570D2CE4"/>
    <w:rsid w:val="5713212C"/>
    <w:rsid w:val="572D6D7C"/>
    <w:rsid w:val="57382C2D"/>
    <w:rsid w:val="573F7625"/>
    <w:rsid w:val="57417C3F"/>
    <w:rsid w:val="57607C5D"/>
    <w:rsid w:val="576870CE"/>
    <w:rsid w:val="578256F1"/>
    <w:rsid w:val="57876C6C"/>
    <w:rsid w:val="579025E4"/>
    <w:rsid w:val="57A14CA3"/>
    <w:rsid w:val="57B13971"/>
    <w:rsid w:val="57B148F3"/>
    <w:rsid w:val="57BE7879"/>
    <w:rsid w:val="57C41815"/>
    <w:rsid w:val="57C60660"/>
    <w:rsid w:val="57DE264A"/>
    <w:rsid w:val="57E717C2"/>
    <w:rsid w:val="57E8396F"/>
    <w:rsid w:val="580A6283"/>
    <w:rsid w:val="580F6546"/>
    <w:rsid w:val="582F3637"/>
    <w:rsid w:val="58427828"/>
    <w:rsid w:val="588E455C"/>
    <w:rsid w:val="58BB759A"/>
    <w:rsid w:val="58D632E1"/>
    <w:rsid w:val="58EE43A5"/>
    <w:rsid w:val="59011906"/>
    <w:rsid w:val="59252920"/>
    <w:rsid w:val="592754F1"/>
    <w:rsid w:val="59324A93"/>
    <w:rsid w:val="59330283"/>
    <w:rsid w:val="59427FB9"/>
    <w:rsid w:val="594A5E3F"/>
    <w:rsid w:val="59575EB6"/>
    <w:rsid w:val="59627276"/>
    <w:rsid w:val="598744A3"/>
    <w:rsid w:val="598B4ABD"/>
    <w:rsid w:val="599C6EA6"/>
    <w:rsid w:val="599F0EAA"/>
    <w:rsid w:val="59B121CE"/>
    <w:rsid w:val="59BD7CAD"/>
    <w:rsid w:val="59BE074D"/>
    <w:rsid w:val="59C02CA7"/>
    <w:rsid w:val="59C46ACA"/>
    <w:rsid w:val="59C66965"/>
    <w:rsid w:val="59C95FE7"/>
    <w:rsid w:val="59D97F5F"/>
    <w:rsid w:val="59E41775"/>
    <w:rsid w:val="59E56D65"/>
    <w:rsid w:val="59F75885"/>
    <w:rsid w:val="59FD7203"/>
    <w:rsid w:val="5A0C7D60"/>
    <w:rsid w:val="5A13072C"/>
    <w:rsid w:val="5A154043"/>
    <w:rsid w:val="5A1A6B11"/>
    <w:rsid w:val="5A1F6949"/>
    <w:rsid w:val="5A2F7E9A"/>
    <w:rsid w:val="5A4714FD"/>
    <w:rsid w:val="5A525FC1"/>
    <w:rsid w:val="5A5313B9"/>
    <w:rsid w:val="5A572444"/>
    <w:rsid w:val="5A5B1A93"/>
    <w:rsid w:val="5A6123EF"/>
    <w:rsid w:val="5A646265"/>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71606F"/>
    <w:rsid w:val="5B73264B"/>
    <w:rsid w:val="5B734215"/>
    <w:rsid w:val="5BB85E2E"/>
    <w:rsid w:val="5BC154FF"/>
    <w:rsid w:val="5BEC0A11"/>
    <w:rsid w:val="5BF86102"/>
    <w:rsid w:val="5C066946"/>
    <w:rsid w:val="5C0D0B5B"/>
    <w:rsid w:val="5C1B653E"/>
    <w:rsid w:val="5C1F1314"/>
    <w:rsid w:val="5C213896"/>
    <w:rsid w:val="5C251B6A"/>
    <w:rsid w:val="5C3077B3"/>
    <w:rsid w:val="5C4417DA"/>
    <w:rsid w:val="5C4616A2"/>
    <w:rsid w:val="5C4E7EA3"/>
    <w:rsid w:val="5C5872CD"/>
    <w:rsid w:val="5C723D2D"/>
    <w:rsid w:val="5C7D6E15"/>
    <w:rsid w:val="5CC33065"/>
    <w:rsid w:val="5CCC7624"/>
    <w:rsid w:val="5CD151D7"/>
    <w:rsid w:val="5CDB1300"/>
    <w:rsid w:val="5CDB2E9D"/>
    <w:rsid w:val="5D124123"/>
    <w:rsid w:val="5D160E88"/>
    <w:rsid w:val="5D170F8F"/>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94359"/>
    <w:rsid w:val="5DFF77A5"/>
    <w:rsid w:val="5E294D98"/>
    <w:rsid w:val="5E3A6B57"/>
    <w:rsid w:val="5E3C4BD7"/>
    <w:rsid w:val="5E621C28"/>
    <w:rsid w:val="5E654B94"/>
    <w:rsid w:val="5E671789"/>
    <w:rsid w:val="5E6A2D60"/>
    <w:rsid w:val="5E732AED"/>
    <w:rsid w:val="5E7625CA"/>
    <w:rsid w:val="5E7D69ED"/>
    <w:rsid w:val="5E7F6E97"/>
    <w:rsid w:val="5E950828"/>
    <w:rsid w:val="5E9B6F9B"/>
    <w:rsid w:val="5EA763D7"/>
    <w:rsid w:val="5EAC18A7"/>
    <w:rsid w:val="5EAC5111"/>
    <w:rsid w:val="5EC40F6D"/>
    <w:rsid w:val="5EC41C59"/>
    <w:rsid w:val="5ECE020E"/>
    <w:rsid w:val="5EDF234F"/>
    <w:rsid w:val="5EE1348F"/>
    <w:rsid w:val="5EEC4531"/>
    <w:rsid w:val="5EF03005"/>
    <w:rsid w:val="5EF3299F"/>
    <w:rsid w:val="5F287E0B"/>
    <w:rsid w:val="5F2A3F9F"/>
    <w:rsid w:val="5F306744"/>
    <w:rsid w:val="5F417E0E"/>
    <w:rsid w:val="5F4A55C6"/>
    <w:rsid w:val="5F6930D0"/>
    <w:rsid w:val="5F6A388F"/>
    <w:rsid w:val="5F702AE8"/>
    <w:rsid w:val="5F744282"/>
    <w:rsid w:val="5F7543B4"/>
    <w:rsid w:val="5FBF3FC2"/>
    <w:rsid w:val="5FD80461"/>
    <w:rsid w:val="5FDF1EF7"/>
    <w:rsid w:val="5FE93E1D"/>
    <w:rsid w:val="5FF529AA"/>
    <w:rsid w:val="60022F17"/>
    <w:rsid w:val="60084D6A"/>
    <w:rsid w:val="601C086A"/>
    <w:rsid w:val="601E58F7"/>
    <w:rsid w:val="602316C2"/>
    <w:rsid w:val="603713E2"/>
    <w:rsid w:val="603B2CE8"/>
    <w:rsid w:val="6041753E"/>
    <w:rsid w:val="60497D52"/>
    <w:rsid w:val="6060310C"/>
    <w:rsid w:val="606625D3"/>
    <w:rsid w:val="606771FC"/>
    <w:rsid w:val="60734C44"/>
    <w:rsid w:val="608E127D"/>
    <w:rsid w:val="60A26AC3"/>
    <w:rsid w:val="60AA06D8"/>
    <w:rsid w:val="60E5198E"/>
    <w:rsid w:val="60F46F08"/>
    <w:rsid w:val="610E5299"/>
    <w:rsid w:val="61317AB3"/>
    <w:rsid w:val="613258E7"/>
    <w:rsid w:val="61426594"/>
    <w:rsid w:val="614F7714"/>
    <w:rsid w:val="615F2167"/>
    <w:rsid w:val="615F7D6A"/>
    <w:rsid w:val="616048EE"/>
    <w:rsid w:val="61653414"/>
    <w:rsid w:val="61667C2C"/>
    <w:rsid w:val="61775B03"/>
    <w:rsid w:val="617D2724"/>
    <w:rsid w:val="6192024E"/>
    <w:rsid w:val="61DE1F1F"/>
    <w:rsid w:val="620058CC"/>
    <w:rsid w:val="62010932"/>
    <w:rsid w:val="621A2AEC"/>
    <w:rsid w:val="621D3DE0"/>
    <w:rsid w:val="623D3F36"/>
    <w:rsid w:val="624D069F"/>
    <w:rsid w:val="625A3A2B"/>
    <w:rsid w:val="628B380A"/>
    <w:rsid w:val="62A86AE4"/>
    <w:rsid w:val="62B6094A"/>
    <w:rsid w:val="62C116BC"/>
    <w:rsid w:val="62DF20A9"/>
    <w:rsid w:val="62E54C39"/>
    <w:rsid w:val="62EB578C"/>
    <w:rsid w:val="62FE5AC6"/>
    <w:rsid w:val="63325CEE"/>
    <w:rsid w:val="635555EB"/>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E1343"/>
    <w:rsid w:val="642F7347"/>
    <w:rsid w:val="64341720"/>
    <w:rsid w:val="64512DAE"/>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5383A"/>
    <w:rsid w:val="653E582F"/>
    <w:rsid w:val="65753498"/>
    <w:rsid w:val="657C1693"/>
    <w:rsid w:val="657D1CD5"/>
    <w:rsid w:val="65884515"/>
    <w:rsid w:val="658F0196"/>
    <w:rsid w:val="65995C0C"/>
    <w:rsid w:val="65A15764"/>
    <w:rsid w:val="65A22487"/>
    <w:rsid w:val="65B652C1"/>
    <w:rsid w:val="65D74DE3"/>
    <w:rsid w:val="65E9248D"/>
    <w:rsid w:val="65EF7DFF"/>
    <w:rsid w:val="66200813"/>
    <w:rsid w:val="662032A0"/>
    <w:rsid w:val="66322707"/>
    <w:rsid w:val="666752FC"/>
    <w:rsid w:val="66706620"/>
    <w:rsid w:val="667A0598"/>
    <w:rsid w:val="667A2800"/>
    <w:rsid w:val="66895C07"/>
    <w:rsid w:val="669022B7"/>
    <w:rsid w:val="66940A39"/>
    <w:rsid w:val="66AA682C"/>
    <w:rsid w:val="66AD2869"/>
    <w:rsid w:val="66B104F3"/>
    <w:rsid w:val="66B51F22"/>
    <w:rsid w:val="66B73366"/>
    <w:rsid w:val="66CA5E5F"/>
    <w:rsid w:val="66E710BA"/>
    <w:rsid w:val="66ED62BD"/>
    <w:rsid w:val="66F7489D"/>
    <w:rsid w:val="67164009"/>
    <w:rsid w:val="671A520A"/>
    <w:rsid w:val="67292A7D"/>
    <w:rsid w:val="672E27A7"/>
    <w:rsid w:val="673A2970"/>
    <w:rsid w:val="67514E24"/>
    <w:rsid w:val="67541DD1"/>
    <w:rsid w:val="67620408"/>
    <w:rsid w:val="676E1191"/>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BD4B3B"/>
    <w:rsid w:val="68CC25F1"/>
    <w:rsid w:val="68D03C42"/>
    <w:rsid w:val="68D42DB2"/>
    <w:rsid w:val="68D653D2"/>
    <w:rsid w:val="68DA7A04"/>
    <w:rsid w:val="68E7020B"/>
    <w:rsid w:val="68EF6C3A"/>
    <w:rsid w:val="68F32A8C"/>
    <w:rsid w:val="68F62E0F"/>
    <w:rsid w:val="68FB7D69"/>
    <w:rsid w:val="690B382C"/>
    <w:rsid w:val="690E768F"/>
    <w:rsid w:val="6918446A"/>
    <w:rsid w:val="691A476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F7616"/>
    <w:rsid w:val="6AD51FFB"/>
    <w:rsid w:val="6AD86D68"/>
    <w:rsid w:val="6ADA4924"/>
    <w:rsid w:val="6ADB0495"/>
    <w:rsid w:val="6AE15310"/>
    <w:rsid w:val="6AF27091"/>
    <w:rsid w:val="6AF533DC"/>
    <w:rsid w:val="6AF92ED3"/>
    <w:rsid w:val="6AF97AAD"/>
    <w:rsid w:val="6AFC6391"/>
    <w:rsid w:val="6AFF7979"/>
    <w:rsid w:val="6B0049FC"/>
    <w:rsid w:val="6B062F9D"/>
    <w:rsid w:val="6B0A4E87"/>
    <w:rsid w:val="6B110489"/>
    <w:rsid w:val="6B196BBA"/>
    <w:rsid w:val="6B1F6C35"/>
    <w:rsid w:val="6B210B08"/>
    <w:rsid w:val="6B3D1977"/>
    <w:rsid w:val="6B3E1542"/>
    <w:rsid w:val="6B3F2B4F"/>
    <w:rsid w:val="6B407F5A"/>
    <w:rsid w:val="6B416A29"/>
    <w:rsid w:val="6B5A41AF"/>
    <w:rsid w:val="6B671D29"/>
    <w:rsid w:val="6B6A7091"/>
    <w:rsid w:val="6B6B4D30"/>
    <w:rsid w:val="6B8F6298"/>
    <w:rsid w:val="6BB02DDF"/>
    <w:rsid w:val="6BBB464B"/>
    <w:rsid w:val="6BD92C40"/>
    <w:rsid w:val="6BE839EF"/>
    <w:rsid w:val="6BED6077"/>
    <w:rsid w:val="6C3016AA"/>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631C3"/>
    <w:rsid w:val="6CFF4FC3"/>
    <w:rsid w:val="6D073BCB"/>
    <w:rsid w:val="6D0B5A94"/>
    <w:rsid w:val="6D232244"/>
    <w:rsid w:val="6D2B1D59"/>
    <w:rsid w:val="6D442267"/>
    <w:rsid w:val="6D451193"/>
    <w:rsid w:val="6D473E8D"/>
    <w:rsid w:val="6D4B4AE0"/>
    <w:rsid w:val="6D536837"/>
    <w:rsid w:val="6D701265"/>
    <w:rsid w:val="6D8A17FB"/>
    <w:rsid w:val="6D95593B"/>
    <w:rsid w:val="6DAB38BE"/>
    <w:rsid w:val="6DE63F0D"/>
    <w:rsid w:val="6DEB24F1"/>
    <w:rsid w:val="6E0C22A1"/>
    <w:rsid w:val="6E11324D"/>
    <w:rsid w:val="6E3433E7"/>
    <w:rsid w:val="6E361F05"/>
    <w:rsid w:val="6E363CDF"/>
    <w:rsid w:val="6E3F7264"/>
    <w:rsid w:val="6E527A2D"/>
    <w:rsid w:val="6E7B5445"/>
    <w:rsid w:val="6E847F11"/>
    <w:rsid w:val="6E9C3DB5"/>
    <w:rsid w:val="6E9F30D8"/>
    <w:rsid w:val="6EA0144C"/>
    <w:rsid w:val="6EB45479"/>
    <w:rsid w:val="6EB82390"/>
    <w:rsid w:val="6EBC6600"/>
    <w:rsid w:val="6EC2611C"/>
    <w:rsid w:val="6EC5561E"/>
    <w:rsid w:val="6EC64ABF"/>
    <w:rsid w:val="6ECA5A5F"/>
    <w:rsid w:val="6EDD7E2A"/>
    <w:rsid w:val="6EFC3550"/>
    <w:rsid w:val="6F043F0B"/>
    <w:rsid w:val="6F187D9F"/>
    <w:rsid w:val="6F2171D7"/>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744377"/>
    <w:rsid w:val="70853BCC"/>
    <w:rsid w:val="70A0395B"/>
    <w:rsid w:val="70A23903"/>
    <w:rsid w:val="70B4157B"/>
    <w:rsid w:val="70D3493E"/>
    <w:rsid w:val="70D76741"/>
    <w:rsid w:val="710A3270"/>
    <w:rsid w:val="710D3A54"/>
    <w:rsid w:val="710F45F3"/>
    <w:rsid w:val="711819F0"/>
    <w:rsid w:val="712913E3"/>
    <w:rsid w:val="71306252"/>
    <w:rsid w:val="716621C1"/>
    <w:rsid w:val="717065C7"/>
    <w:rsid w:val="717F1C07"/>
    <w:rsid w:val="71917DAC"/>
    <w:rsid w:val="71A167E4"/>
    <w:rsid w:val="71A53C39"/>
    <w:rsid w:val="71AB5F8A"/>
    <w:rsid w:val="71B07710"/>
    <w:rsid w:val="71B24E95"/>
    <w:rsid w:val="71C5773E"/>
    <w:rsid w:val="71D738DD"/>
    <w:rsid w:val="71D8471D"/>
    <w:rsid w:val="71DF00AD"/>
    <w:rsid w:val="71FC4C7C"/>
    <w:rsid w:val="720F7BF5"/>
    <w:rsid w:val="72251DA4"/>
    <w:rsid w:val="72712929"/>
    <w:rsid w:val="72735155"/>
    <w:rsid w:val="7274287C"/>
    <w:rsid w:val="728114C6"/>
    <w:rsid w:val="7288016D"/>
    <w:rsid w:val="729446A5"/>
    <w:rsid w:val="729B764A"/>
    <w:rsid w:val="729E44D2"/>
    <w:rsid w:val="72A20B62"/>
    <w:rsid w:val="72B375F5"/>
    <w:rsid w:val="72B42071"/>
    <w:rsid w:val="72B60E02"/>
    <w:rsid w:val="72C740ED"/>
    <w:rsid w:val="72CD5369"/>
    <w:rsid w:val="72E673CF"/>
    <w:rsid w:val="72EB533D"/>
    <w:rsid w:val="730B0B61"/>
    <w:rsid w:val="7317407A"/>
    <w:rsid w:val="731B3421"/>
    <w:rsid w:val="7323171B"/>
    <w:rsid w:val="732A411A"/>
    <w:rsid w:val="735E1484"/>
    <w:rsid w:val="736D44EF"/>
    <w:rsid w:val="73780E63"/>
    <w:rsid w:val="739B3131"/>
    <w:rsid w:val="73B11DA5"/>
    <w:rsid w:val="73B35A75"/>
    <w:rsid w:val="73C66FFC"/>
    <w:rsid w:val="73C97E9E"/>
    <w:rsid w:val="73D40DA2"/>
    <w:rsid w:val="73DD1180"/>
    <w:rsid w:val="73E93129"/>
    <w:rsid w:val="73F44CAD"/>
    <w:rsid w:val="74180212"/>
    <w:rsid w:val="741D25EF"/>
    <w:rsid w:val="741E5F67"/>
    <w:rsid w:val="74390C11"/>
    <w:rsid w:val="74422B4B"/>
    <w:rsid w:val="744300E1"/>
    <w:rsid w:val="74465350"/>
    <w:rsid w:val="744B1C9A"/>
    <w:rsid w:val="746B647F"/>
    <w:rsid w:val="74841A3C"/>
    <w:rsid w:val="7489283A"/>
    <w:rsid w:val="749262B3"/>
    <w:rsid w:val="74973215"/>
    <w:rsid w:val="74A6039C"/>
    <w:rsid w:val="74B53285"/>
    <w:rsid w:val="74B746E8"/>
    <w:rsid w:val="74C3296B"/>
    <w:rsid w:val="74D67798"/>
    <w:rsid w:val="74D87365"/>
    <w:rsid w:val="75111A9D"/>
    <w:rsid w:val="752D306B"/>
    <w:rsid w:val="753022BE"/>
    <w:rsid w:val="75311E23"/>
    <w:rsid w:val="754F3919"/>
    <w:rsid w:val="75530645"/>
    <w:rsid w:val="755631A4"/>
    <w:rsid w:val="755F2C4C"/>
    <w:rsid w:val="7594489B"/>
    <w:rsid w:val="7595501B"/>
    <w:rsid w:val="759F5E08"/>
    <w:rsid w:val="75BE4BC3"/>
    <w:rsid w:val="75D95411"/>
    <w:rsid w:val="75DF5DB2"/>
    <w:rsid w:val="760C719D"/>
    <w:rsid w:val="760E5232"/>
    <w:rsid w:val="761852CC"/>
    <w:rsid w:val="762A38F1"/>
    <w:rsid w:val="762E5891"/>
    <w:rsid w:val="763E0596"/>
    <w:rsid w:val="763F7318"/>
    <w:rsid w:val="76466B26"/>
    <w:rsid w:val="767257A1"/>
    <w:rsid w:val="767479C3"/>
    <w:rsid w:val="76770C26"/>
    <w:rsid w:val="76824D53"/>
    <w:rsid w:val="76A67DFC"/>
    <w:rsid w:val="76AB3135"/>
    <w:rsid w:val="76B45F6C"/>
    <w:rsid w:val="76BD5918"/>
    <w:rsid w:val="76C160CF"/>
    <w:rsid w:val="76C719EA"/>
    <w:rsid w:val="76CC04C9"/>
    <w:rsid w:val="76D631D8"/>
    <w:rsid w:val="76E00FAD"/>
    <w:rsid w:val="76EC646B"/>
    <w:rsid w:val="76F03175"/>
    <w:rsid w:val="76FE6109"/>
    <w:rsid w:val="76FE7EB1"/>
    <w:rsid w:val="7703479F"/>
    <w:rsid w:val="770850B6"/>
    <w:rsid w:val="772242B4"/>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A3B8B"/>
    <w:rsid w:val="783862E1"/>
    <w:rsid w:val="785842D3"/>
    <w:rsid w:val="78611E12"/>
    <w:rsid w:val="78655361"/>
    <w:rsid w:val="78671C8E"/>
    <w:rsid w:val="78687D69"/>
    <w:rsid w:val="786A3B4D"/>
    <w:rsid w:val="78737430"/>
    <w:rsid w:val="78740338"/>
    <w:rsid w:val="788C32CD"/>
    <w:rsid w:val="78A11F78"/>
    <w:rsid w:val="78A45B9E"/>
    <w:rsid w:val="78AF7669"/>
    <w:rsid w:val="78D15EAD"/>
    <w:rsid w:val="78D528CE"/>
    <w:rsid w:val="78DC52BB"/>
    <w:rsid w:val="78FE6C12"/>
    <w:rsid w:val="78FE6E8B"/>
    <w:rsid w:val="79004FC6"/>
    <w:rsid w:val="790978A0"/>
    <w:rsid w:val="791214E9"/>
    <w:rsid w:val="7914208C"/>
    <w:rsid w:val="793E70B5"/>
    <w:rsid w:val="794247C9"/>
    <w:rsid w:val="795678F3"/>
    <w:rsid w:val="795E2273"/>
    <w:rsid w:val="797E288F"/>
    <w:rsid w:val="798B58B7"/>
    <w:rsid w:val="798C051E"/>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C42EFD"/>
    <w:rsid w:val="7ACF5FBB"/>
    <w:rsid w:val="7AD51A8A"/>
    <w:rsid w:val="7ADA4312"/>
    <w:rsid w:val="7AF3075E"/>
    <w:rsid w:val="7B060C10"/>
    <w:rsid w:val="7B1903CB"/>
    <w:rsid w:val="7B223A05"/>
    <w:rsid w:val="7B2C1EB5"/>
    <w:rsid w:val="7B550266"/>
    <w:rsid w:val="7B552736"/>
    <w:rsid w:val="7B845564"/>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1643B1"/>
    <w:rsid w:val="7C183004"/>
    <w:rsid w:val="7C191659"/>
    <w:rsid w:val="7C1954A8"/>
    <w:rsid w:val="7C201BE6"/>
    <w:rsid w:val="7C23517E"/>
    <w:rsid w:val="7C2864C4"/>
    <w:rsid w:val="7C447A03"/>
    <w:rsid w:val="7C447CFF"/>
    <w:rsid w:val="7C4D33E3"/>
    <w:rsid w:val="7C53730A"/>
    <w:rsid w:val="7C5A260A"/>
    <w:rsid w:val="7C741B8F"/>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A6953"/>
    <w:rsid w:val="7EFD157F"/>
    <w:rsid w:val="7F007023"/>
    <w:rsid w:val="7F0770CE"/>
    <w:rsid w:val="7F084B75"/>
    <w:rsid w:val="7F1262E1"/>
    <w:rsid w:val="7F1E4DF1"/>
    <w:rsid w:val="7F224903"/>
    <w:rsid w:val="7F230D06"/>
    <w:rsid w:val="7F405636"/>
    <w:rsid w:val="7F560F95"/>
    <w:rsid w:val="7F737A53"/>
    <w:rsid w:val="7F8339FD"/>
    <w:rsid w:val="7F855E62"/>
    <w:rsid w:val="7F974ED5"/>
    <w:rsid w:val="7FA15F27"/>
    <w:rsid w:val="7FB25973"/>
    <w:rsid w:val="7FCC6BC7"/>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DEEAEA-364E-495F-B8D6-3840B1865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b/>
      <w:spacing w:val="20"/>
      <w:w w:val="135"/>
      <w:sz w:val="28"/>
    </w:rPr>
  </w:style>
  <w:style w:type="paragraph" w:customStyle="1" w:styleId="a5">
    <w:name w:val="示例"/>
    <w:next w:val="a6"/>
    <w:qFormat/>
    <w:pPr>
      <w:widowControl w:val="0"/>
      <w:spacing w:after="160" w:line="259" w:lineRule="auto"/>
      <w:ind w:left="360" w:hanging="360"/>
      <w:jc w:val="both"/>
    </w:pPr>
    <w:rPr>
      <w:rFonts w:ascii="宋体"/>
      <w:sz w:val="18"/>
      <w:szCs w:val="18"/>
    </w:rPr>
  </w:style>
  <w:style w:type="paragraph" w:customStyle="1" w:styleId="a6">
    <w:name w:val="示例内容"/>
    <w:qFormat/>
    <w:pPr>
      <w:spacing w:after="160" w:line="259" w:lineRule="auto"/>
      <w:ind w:firstLineChars="200" w:firstLine="200"/>
    </w:pPr>
    <w:rPr>
      <w:rFonts w:ascii="宋体"/>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sz w:val="21"/>
    </w:rPr>
  </w:style>
  <w:style w:type="paragraph" w:customStyle="1" w:styleId="a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PLChar">
    <w:name w:val="PL Char"/>
    <w:link w:val="PL"/>
    <w:qFormat/>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3EE2A1-15C9-4A0D-8B63-80F6E4E5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1590</Words>
  <Characters>9063</Characters>
  <Application>Microsoft Office Word</Application>
  <DocSecurity>0</DocSecurity>
  <Lines>75</Lines>
  <Paragraphs>21</Paragraphs>
  <ScaleCrop>false</ScaleCrop>
  <Company>www.zte.com.cn</Company>
  <LinksUpToDate>false</LinksUpToDate>
  <CharactersWithSpaces>10632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105</cp:revision>
  <cp:lastPrinted>2113-01-01T00:00:00Z</cp:lastPrinted>
  <dcterms:created xsi:type="dcterms:W3CDTF">2019-01-23T12:56:00Z</dcterms:created>
  <dcterms:modified xsi:type="dcterms:W3CDTF">2020-08-05T12:27:00Z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